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新宋体" w:eastAsia="仿宋_GB2312"/>
          <w:sz w:val="32"/>
          <w:szCs w:val="32"/>
        </w:rPr>
      </w:pPr>
      <w:r>
        <w:rPr>
          <w:rFonts w:hint="eastAsia" w:ascii="仿宋_GB2312" w:hAnsi="新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4533900</wp:posOffset>
                </wp:positionH>
                <wp:positionV relativeFrom="paragraph">
                  <wp:posOffset>90805</wp:posOffset>
                </wp:positionV>
                <wp:extent cx="1028700" cy="8007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8700" cy="800735"/>
                        </a:xfrm>
                        <a:prstGeom prst="rect">
                          <a:avLst/>
                        </a:prstGeom>
                        <a:noFill/>
                        <a:ln>
                          <a:noFill/>
                        </a:ln>
                      </wps:spPr>
                      <wps:txbx>
                        <w:txbxContent>
                          <w:p>
                            <w:pPr>
                              <w:rPr>
                                <w:rFonts w:hint="eastAsia"/>
                                <w:szCs w:val="72"/>
                              </w:rPr>
                            </w:pPr>
                          </w:p>
                        </w:txbxContent>
                      </wps:txbx>
                      <wps:bodyPr upright="1"/>
                    </wps:wsp>
                  </a:graphicData>
                </a:graphic>
              </wp:anchor>
            </w:drawing>
          </mc:Choice>
          <mc:Fallback>
            <w:pict>
              <v:shape id="_x0000_s1026" o:spid="_x0000_s1026" o:spt="202" type="#_x0000_t202" style="position:absolute;left:0pt;margin-left:357pt;margin-top:7.15pt;height:63.05pt;width:81pt;z-index:251659264;mso-width-relative:page;mso-height-relative:page;" filled="f" stroked="f" coordsize="21600,21600" o:gfxdata="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faodL1gAAAAoB&#10;AAAPAAAAAAAAAAEAIAAAACIAAABkcnMvZG93bnJldi54bWxQSwECFAAUAAAACACHTuJAjhk4rqsB&#10;AABOAwAADgAAAAAAAAABACAAAAAlAQAAZHJzL2Uyb0RvYy54bWxQSwUGAAAAAAYABgBZAQAAQgUA&#10;AAAA&#10;">
                <v:fill on="f" focussize="0,0"/>
                <v:stroke on="f"/>
                <v:imagedata o:title=""/>
                <o:lock v:ext="edit" aspectratio="f"/>
                <v:textbox>
                  <w:txbxContent>
                    <w:p>
                      <w:pPr>
                        <w:rPr>
                          <w:rFonts w:hint="eastAsia"/>
                          <w:szCs w:val="72"/>
                        </w:rPr>
                      </w:pPr>
                    </w:p>
                  </w:txbxContent>
                </v:textbox>
              </v:shape>
            </w:pict>
          </mc:Fallback>
        </mc:AlternateContent>
      </w:r>
    </w:p>
    <w:p>
      <w:pPr>
        <w:jc w:val="center"/>
        <w:rPr>
          <w:rFonts w:hint="eastAsia" w:ascii="仿宋_GB2312" w:hAnsi="新宋体" w:eastAsia="仿宋_GB2312"/>
          <w:sz w:val="32"/>
          <w:szCs w:val="32"/>
        </w:rPr>
      </w:pPr>
    </w:p>
    <w:p>
      <w:pPr>
        <w:jc w:val="center"/>
        <w:rPr>
          <w:rFonts w:hint="eastAsia" w:ascii="仿宋_GB2312" w:hAnsi="新宋体" w:eastAsia="仿宋_GB2312"/>
          <w:sz w:val="32"/>
          <w:szCs w:val="32"/>
        </w:rPr>
      </w:pPr>
    </w:p>
    <w:p>
      <w:pPr>
        <w:spacing w:line="600" w:lineRule="exact"/>
        <w:jc w:val="both"/>
        <w:rPr>
          <w:rFonts w:hint="eastAsia" w:ascii="仿宋_GB2312" w:hAnsi="新宋体" w:eastAsia="仿宋_GB2312"/>
          <w:sz w:val="32"/>
          <w:szCs w:val="32"/>
        </w:rPr>
      </w:pPr>
    </w:p>
    <w:p>
      <w:pPr>
        <w:spacing w:line="600" w:lineRule="exact"/>
        <w:jc w:val="center"/>
        <w:rPr>
          <w:rFonts w:hint="eastAsia" w:ascii="仿宋_GB2312" w:hAnsi="仿宋" w:eastAsia="仿宋_GB2312"/>
          <w:sz w:val="32"/>
          <w:szCs w:val="32"/>
        </w:rPr>
      </w:pPr>
    </w:p>
    <w:p>
      <w:pPr>
        <w:spacing w:line="600" w:lineRule="exact"/>
        <w:jc w:val="center"/>
        <w:rPr>
          <w:rFonts w:hint="eastAsia" w:ascii="仿宋_GB2312" w:hAnsi="仿宋" w:eastAsia="仿宋_GB2312"/>
          <w:sz w:val="18"/>
          <w:szCs w:val="18"/>
        </w:rPr>
      </w:pPr>
      <w:r>
        <w:rPr>
          <w:rFonts w:hint="eastAsia" w:ascii="仿宋_GB2312" w:hAnsi="仿宋" w:eastAsia="仿宋_GB2312"/>
          <w:sz w:val="32"/>
          <w:szCs w:val="32"/>
        </w:rPr>
        <w:t>枣高行审〔20</w:t>
      </w:r>
      <w:r>
        <w:rPr>
          <w:rFonts w:hint="eastAsia" w:ascii="仿宋_GB2312" w:hAnsi="仿宋" w:eastAsia="仿宋_GB2312"/>
          <w:sz w:val="32"/>
          <w:szCs w:val="32"/>
          <w:lang w:val="en-US" w:eastAsia="zh-CN"/>
        </w:rPr>
        <w:t>22</w:t>
      </w:r>
      <w:r>
        <w:rPr>
          <w:rFonts w:hint="eastAsia" w:ascii="仿宋_GB2312" w:hAnsi="仿宋" w:eastAsia="仿宋_GB2312"/>
          <w:sz w:val="32"/>
          <w:szCs w:val="32"/>
        </w:rPr>
        <w:t>〕</w:t>
      </w:r>
      <w:r>
        <w:rPr>
          <w:rFonts w:hint="eastAsia" w:hAnsi="仿宋"/>
          <w:sz w:val="32"/>
          <w:szCs w:val="32"/>
          <w:lang w:val="en-US" w:eastAsia="zh-CN"/>
        </w:rPr>
        <w:t>21</w:t>
      </w:r>
      <w:r>
        <w:rPr>
          <w:rFonts w:hint="eastAsia" w:ascii="仿宋_GB2312" w:hAnsi="仿宋" w:eastAsia="仿宋_GB2312"/>
          <w:sz w:val="32"/>
          <w:szCs w:val="32"/>
        </w:rPr>
        <w:t xml:space="preserve">号 </w:t>
      </w:r>
    </w:p>
    <w:p>
      <w:pPr>
        <w:spacing w:line="600" w:lineRule="exact"/>
        <w:jc w:val="center"/>
        <w:rPr>
          <w:rFonts w:hint="eastAsia" w:ascii="仿宋" w:hAnsi="仿宋" w:eastAsia="仿宋"/>
          <w:sz w:val="18"/>
          <w:szCs w:val="18"/>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关于印发《行政审批局2</w:t>
      </w:r>
      <w:r>
        <w:rPr>
          <w:rFonts w:hint="eastAsia" w:ascii="方正小标宋简体" w:hAnsi="方正小标宋简体" w:eastAsia="方正小标宋简体" w:cs="方正小标宋简体"/>
          <w:b/>
          <w:bCs/>
          <w:sz w:val="44"/>
          <w:szCs w:val="44"/>
        </w:rPr>
        <w:t>02</w:t>
      </w:r>
      <w:r>
        <w:rPr>
          <w:rFonts w:hint="eastAsia" w:ascii="方正小标宋简体" w:hAnsi="方正小标宋简体" w:eastAsia="方正小标宋简体" w:cs="方正小标宋简体"/>
          <w:b/>
          <w:bCs/>
          <w:sz w:val="44"/>
          <w:szCs w:val="44"/>
          <w:lang w:val="en-US" w:eastAsia="zh-CN"/>
        </w:rPr>
        <w:t>2</w:t>
      </w:r>
      <w:r>
        <w:rPr>
          <w:rFonts w:hint="eastAsia" w:ascii="方正小标宋简体" w:hAnsi="方正小标宋简体" w:eastAsia="方正小标宋简体" w:cs="方正小标宋简体"/>
          <w:b/>
          <w:bCs/>
          <w:sz w:val="44"/>
          <w:szCs w:val="44"/>
        </w:rPr>
        <w:t>民生领域案件查办</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“铁拳</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lang w:val="en-US" w:eastAsia="zh-CN"/>
        </w:rPr>
        <w:t>行动实施</w:t>
      </w:r>
      <w:r>
        <w:rPr>
          <w:rFonts w:hint="eastAsia" w:ascii="方正小标宋简体" w:hAnsi="方正小标宋简体" w:eastAsia="方正小标宋简体" w:cs="方正小标宋简体"/>
          <w:b/>
          <w:bCs/>
          <w:sz w:val="44"/>
          <w:szCs w:val="44"/>
        </w:rPr>
        <w:t>方案</w:t>
      </w:r>
      <w:r>
        <w:rPr>
          <w:rFonts w:hint="eastAsia" w:ascii="方正小标宋简体" w:hAnsi="方正小标宋简体" w:eastAsia="方正小标宋简体" w:cs="方正小标宋简体"/>
          <w:b/>
          <w:bCs/>
          <w:sz w:val="44"/>
          <w:szCs w:val="44"/>
          <w:lang w:val="en-US" w:eastAsia="zh-CN"/>
        </w:rPr>
        <w:t>》的通知</w:t>
      </w:r>
    </w:p>
    <w:p>
      <w:pPr>
        <w:pStyle w:val="3"/>
        <w:rPr>
          <w:rFonts w:hint="eastAsia" w:ascii="方正小标宋简体" w:hAnsi="方正小标宋简体" w:eastAsia="方正小标宋简体" w:cs="方正小标宋简体"/>
          <w:b w:val="0"/>
          <w:bCs w:val="0"/>
          <w:sz w:val="32"/>
          <w:szCs w:val="32"/>
          <w:lang w:val="en-US" w:eastAsia="zh-CN"/>
        </w:rPr>
      </w:pPr>
    </w:p>
    <w:p>
      <w:pPr>
        <w:rPr>
          <w:rFonts w:hint="default"/>
          <w:lang w:val="en-US" w:eastAsia="zh-CN"/>
        </w:rPr>
      </w:pPr>
      <w:r>
        <w:rPr>
          <w:rFonts w:hint="eastAsia" w:ascii="仿宋_GB2312" w:hAnsi="仿宋_GB2312" w:eastAsia="仿宋_GB2312" w:cs="仿宋_GB2312"/>
          <w:b w:val="0"/>
          <w:bCs w:val="0"/>
          <w:sz w:val="32"/>
          <w:szCs w:val="32"/>
          <w:lang w:val="en-US" w:eastAsia="zh-CN"/>
        </w:rPr>
        <w:t>各科室、所：</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left"/>
        <w:textAlignment w:val="auto"/>
        <w:rPr>
          <w:rFonts w:hint="eastAsia"/>
          <w:lang w:val="en-US" w:eastAsia="zh-CN"/>
        </w:rPr>
      </w:pPr>
      <w:r>
        <w:rPr>
          <w:rFonts w:hint="eastAsia"/>
          <w:lang w:val="en-US" w:eastAsia="zh-CN"/>
        </w:rPr>
        <w:t>根据总局和省局领导要求，现将《行政审批局2022民生领域案件查办“铁拳”行动实施方案》印发给你们，请结合实际，认真贯彻落实。典型案例和信息数据报送及时性和报送质量等将纳入年终省局对各市局的评议评价，为进一步抓好有关工作落实，现将有关事项明确如下：</w:t>
      </w:r>
    </w:p>
    <w:p>
      <w:pPr>
        <w:pStyle w:val="3"/>
        <w:numPr>
          <w:ilvl w:val="0"/>
          <w:numId w:val="1"/>
        </w:numPr>
        <w:ind w:left="0" w:leftChars="0" w:firstLine="420" w:firstLineChars="0"/>
        <w:rPr>
          <w:rFonts w:hint="default"/>
          <w:lang w:val="en-US" w:eastAsia="zh-CN"/>
        </w:rPr>
      </w:pPr>
      <w:r>
        <w:rPr>
          <w:rFonts w:hint="eastAsia"/>
          <w:lang w:val="en-US" w:eastAsia="zh-CN"/>
        </w:rPr>
        <w:t>规范填写案例目录(附件4）。</w:t>
      </w:r>
    </w:p>
    <w:p>
      <w:pPr>
        <w:pStyle w:val="3"/>
        <w:numPr>
          <w:ilvl w:val="0"/>
          <w:numId w:val="1"/>
        </w:numPr>
        <w:ind w:left="0" w:leftChars="0" w:firstLine="420" w:firstLineChars="0"/>
        <w:rPr>
          <w:rFonts w:hint="default"/>
          <w:lang w:val="en-US" w:eastAsia="zh-CN"/>
        </w:rPr>
      </w:pPr>
      <w:r>
        <w:rPr>
          <w:rFonts w:hint="default"/>
          <w:lang w:val="en-US" w:eastAsia="zh-CN"/>
        </w:rPr>
        <w:t>有民生类的不属于12类型的重大典型案例也可报送，比如移送公安机关、罚没款数额较大的案件</w:t>
      </w:r>
      <w:r>
        <w:rPr>
          <w:rFonts w:hint="eastAsia"/>
          <w:lang w:val="en-US" w:eastAsia="zh-CN"/>
        </w:rPr>
        <w:t>。</w:t>
      </w:r>
    </w:p>
    <w:p>
      <w:pPr>
        <w:numPr>
          <w:ilvl w:val="0"/>
          <w:numId w:val="1"/>
        </w:numPr>
        <w:spacing w:line="540" w:lineRule="exact"/>
        <w:ind w:left="0" w:leftChars="0" w:firstLine="420" w:firstLineChars="0"/>
        <w:rPr>
          <w:rFonts w:hint="eastAsia"/>
          <w:lang w:eastAsia="zh-CN"/>
        </w:rPr>
      </w:pPr>
      <w:r>
        <w:rPr>
          <w:rFonts w:hint="eastAsia" w:ascii="仿宋_GB2312" w:hAnsi="仿宋_GB2312" w:eastAsia="仿宋_GB2312" w:cs="仿宋_GB2312"/>
          <w:sz w:val="32"/>
          <w:szCs w:val="32"/>
        </w:rPr>
        <w:t>将每个案例一个</w:t>
      </w:r>
      <w:r>
        <w:rPr>
          <w:rFonts w:ascii="仿宋_GB2312" w:hAnsi="仿宋_GB2312" w:eastAsia="仿宋_GB2312" w:cs="仿宋_GB2312"/>
          <w:sz w:val="32"/>
          <w:szCs w:val="32"/>
        </w:rPr>
        <w:t>word</w:t>
      </w:r>
      <w:r>
        <w:rPr>
          <w:rFonts w:hint="eastAsia" w:ascii="仿宋_GB2312" w:hAnsi="仿宋_GB2312" w:eastAsia="仿宋_GB2312" w:cs="仿宋_GB2312"/>
          <w:sz w:val="32"/>
          <w:szCs w:val="32"/>
        </w:rPr>
        <w:t>文档（</w:t>
      </w:r>
      <w:r>
        <w:rPr>
          <w:rFonts w:hint="eastAsia" w:hAnsi="仿宋_GB2312" w:cs="仿宋_GB2312"/>
          <w:sz w:val="32"/>
          <w:szCs w:val="32"/>
          <w:lang w:val="en-US" w:eastAsia="zh-CN"/>
        </w:rPr>
        <w:t>附件5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类型案例分别放在以案件类型命名的各个文件夹里，务必将案件信息表里面办案人员联系方式填写正确</w:t>
      </w:r>
      <w:r>
        <w:rPr>
          <w:rFonts w:hint="eastAsia" w:hAnsi="仿宋_GB2312" w:cs="仿宋_GB2312"/>
          <w:sz w:val="32"/>
          <w:szCs w:val="32"/>
          <w:lang w:eastAsia="zh-CN"/>
        </w:rPr>
        <w:t>。</w:t>
      </w:r>
    </w:p>
    <w:p>
      <w:pPr>
        <w:numPr>
          <w:ilvl w:val="0"/>
          <w:numId w:val="1"/>
        </w:numPr>
        <w:spacing w:line="540" w:lineRule="exact"/>
        <w:ind w:left="0" w:leftChars="0" w:firstLine="420" w:firstLineChars="0"/>
        <w:rPr>
          <w:rFonts w:hint="eastAsia"/>
          <w:lang w:eastAsia="zh-CN"/>
        </w:rPr>
      </w:pPr>
      <w:r>
        <w:rPr>
          <w:rFonts w:hint="eastAsia"/>
          <w:lang w:eastAsia="zh-CN"/>
        </w:rPr>
        <w:t>每月29日前报送当月典型案例目录（附件4）、典型案件信息表（附件5）、重点案件查办情况表（附件6），有重大影响的案件及需要上级协调办理的案件线索可随时报送；</w:t>
      </w:r>
    </w:p>
    <w:p>
      <w:pPr>
        <w:numPr>
          <w:ilvl w:val="0"/>
          <w:numId w:val="1"/>
        </w:numPr>
        <w:spacing w:line="540" w:lineRule="exact"/>
        <w:ind w:left="0" w:leftChars="0" w:firstLine="420" w:firstLineChars="0"/>
        <w:rPr>
          <w:rFonts w:hint="eastAsia"/>
          <w:lang w:eastAsia="zh-CN"/>
        </w:rPr>
      </w:pPr>
      <w:r>
        <w:rPr>
          <w:rFonts w:hint="eastAsia"/>
          <w:lang w:eastAsia="zh-CN"/>
        </w:rPr>
        <w:t>按季度报送宣传工作开展情况表（附件7），6月28日、9月23日前，分别报送半年、第三季度案件查办和宣传工作开展情况总结；12月5日前，报送2022年工作总结报告，总结有效做法和成功经验，提出2023年重点案件查办建议。</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李秋润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 xml:space="preserve">869016 </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t>gxqxzspjfzk@163.com</w:t>
      </w:r>
    </w:p>
    <w:p>
      <w:pPr>
        <w:pStyle w:val="3"/>
        <w:rPr>
          <w:rFonts w:hint="eastAsia"/>
          <w:lang w:eastAsia="zh-CN"/>
        </w:rPr>
      </w:pPr>
    </w:p>
    <w:p>
      <w:pPr>
        <w:pStyle w:val="3"/>
        <w:rPr>
          <w:rFonts w:hint="eastAsia"/>
          <w:lang w:eastAsia="zh-CN"/>
        </w:rPr>
      </w:pPr>
    </w:p>
    <w:p>
      <w:pPr>
        <w:pStyle w:val="3"/>
        <w:rPr>
          <w:rFonts w:hint="eastAsia"/>
          <w:lang w:eastAsia="zh-CN"/>
        </w:rPr>
      </w:pPr>
    </w:p>
    <w:p>
      <w:pPr>
        <w:rPr>
          <w:rFonts w:hint="default"/>
          <w:lang w:val="en-US" w:eastAsia="zh-CN"/>
        </w:rPr>
      </w:pPr>
    </w:p>
    <w:p>
      <w:pPr>
        <w:pStyle w:val="3"/>
        <w:rPr>
          <w:rFonts w:hint="default" w:ascii="仿宋_GB2312" w:hAnsi="Times New Roman" w:eastAsia="仿宋_GB2312" w:cs="Times New Roman"/>
          <w:kern w:val="2"/>
          <w:sz w:val="32"/>
          <w:szCs w:val="32"/>
          <w:lang w:val="en-US" w:eastAsia="zh-CN" w:bidi="ar-SA"/>
        </w:rPr>
      </w:pPr>
    </w:p>
    <w:p>
      <w:pPr>
        <w:jc w:val="righ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枣庄高新区行政审批局</w:t>
      </w:r>
    </w:p>
    <w:p>
      <w:pPr>
        <w:jc w:val="right"/>
        <w:rPr>
          <w:rFonts w:hint="default" w:ascii="仿宋_GB2312" w:hAnsi="Times New Roman" w:eastAsia="仿宋_GB2312" w:cs="Times New Roman"/>
          <w:kern w:val="2"/>
          <w:sz w:val="32"/>
          <w:szCs w:val="32"/>
          <w:lang w:val="en-US" w:eastAsia="zh-CN" w:bidi="ar-SA"/>
        </w:rPr>
        <w:sectPr>
          <w:footerReference r:id="rId3" w:type="default"/>
          <w:pgSz w:w="11906" w:h="16838"/>
          <w:pgMar w:top="2098" w:right="1531" w:bottom="1984" w:left="1531" w:header="851" w:footer="1417" w:gutter="0"/>
          <w:pgNumType w:fmt="decimal" w:start="1"/>
          <w:cols w:space="720" w:num="1"/>
          <w:rtlGutter w:val="0"/>
          <w:docGrid w:type="lines" w:linePitch="318" w:charSpace="0"/>
        </w:sectPr>
      </w:pPr>
      <w:r>
        <w:rPr>
          <w:rFonts w:hint="eastAsia" w:ascii="仿宋_GB2312" w:hAnsi="Times New Roman" w:eastAsia="仿宋_GB2312" w:cs="Times New Roman"/>
          <w:kern w:val="2"/>
          <w:sz w:val="32"/>
          <w:szCs w:val="32"/>
          <w:lang w:val="en-US" w:eastAsia="zh-CN" w:bidi="ar-SA"/>
        </w:rPr>
        <w:t>2022年3月23日</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行政审批局2</w:t>
      </w:r>
      <w:r>
        <w:rPr>
          <w:rFonts w:hint="eastAsia" w:ascii="方正小标宋简体" w:hAnsi="方正小标宋简体" w:eastAsia="方正小标宋简体" w:cs="方正小标宋简体"/>
          <w:b/>
          <w:bCs/>
          <w:sz w:val="44"/>
          <w:szCs w:val="44"/>
        </w:rPr>
        <w:t>02</w:t>
      </w:r>
      <w:r>
        <w:rPr>
          <w:rFonts w:hint="eastAsia" w:ascii="方正小标宋简体" w:hAnsi="方正小标宋简体" w:eastAsia="方正小标宋简体" w:cs="方正小标宋简体"/>
          <w:b/>
          <w:bCs/>
          <w:sz w:val="44"/>
          <w:szCs w:val="44"/>
          <w:lang w:val="en-US" w:eastAsia="zh-CN"/>
        </w:rPr>
        <w:t>2</w:t>
      </w:r>
      <w:r>
        <w:rPr>
          <w:rFonts w:hint="eastAsia" w:ascii="方正小标宋简体" w:hAnsi="方正小标宋简体" w:eastAsia="方正小标宋简体" w:cs="方正小标宋简体"/>
          <w:b/>
          <w:bCs/>
          <w:sz w:val="44"/>
          <w:szCs w:val="44"/>
        </w:rPr>
        <w:t>民生领域案件查办</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“铁拳</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lang w:val="en-US" w:eastAsia="zh-CN"/>
        </w:rPr>
        <w:t>行动实施</w:t>
      </w:r>
      <w:r>
        <w:rPr>
          <w:rFonts w:hint="eastAsia" w:ascii="方正小标宋简体" w:hAnsi="方正小标宋简体" w:eastAsia="方正小标宋简体" w:cs="方正小标宋简体"/>
          <w:b/>
          <w:bCs/>
          <w:sz w:val="44"/>
          <w:szCs w:val="44"/>
        </w:rPr>
        <w:t>方案</w:t>
      </w:r>
    </w:p>
    <w:p>
      <w:pPr>
        <w:keepNext w:val="0"/>
        <w:keepLines w:val="0"/>
        <w:pageBreakBefore w:val="0"/>
        <w:kinsoku/>
        <w:wordWrap/>
        <w:overflowPunct/>
        <w:topLinePunct w:val="0"/>
        <w:bidi w:val="0"/>
        <w:spacing w:line="570" w:lineRule="exact"/>
        <w:ind w:right="0" w:rightChars="0" w:firstLine="640" w:firstLineChars="200"/>
        <w:jc w:val="both"/>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spacing w:line="570" w:lineRule="exact"/>
        <w:ind w:right="0" w:righ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w:t>
      </w: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lang w:eastAsia="zh-CN"/>
        </w:rPr>
        <w:t>市场监管系统执法稽查工作暨</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民生领域“铁拳”行动部署会议精神，依</w:t>
      </w:r>
      <w:r>
        <w:rPr>
          <w:rFonts w:hint="eastAsia" w:ascii="仿宋_GB2312" w:hAnsi="仿宋_GB2312" w:eastAsia="仿宋_GB2312" w:cs="仿宋_GB2312"/>
          <w:sz w:val="32"/>
          <w:szCs w:val="32"/>
          <w:lang w:val="en-US" w:eastAsia="zh-CN"/>
        </w:rPr>
        <w:t>据枣庄市市场监管局《2022民生领域案件查办“铁拳”行动实施方案》，经枣庄高新区行政审批局研究，制定高新区2022民生领域案件查办“铁拳”行动实施方案。</w:t>
      </w:r>
    </w:p>
    <w:p>
      <w:pPr>
        <w:pStyle w:val="9"/>
        <w:keepNext w:val="0"/>
        <w:keepLines w:val="0"/>
        <w:pageBreakBefore w:val="0"/>
        <w:numPr>
          <w:ilvl w:val="0"/>
          <w:numId w:val="0"/>
        </w:numPr>
        <w:kinsoku/>
        <w:wordWrap/>
        <w:overflowPunct/>
        <w:topLinePunct w:val="0"/>
        <w:bidi w:val="0"/>
        <w:spacing w:line="570" w:lineRule="exact"/>
        <w:ind w:right="0" w:righ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总体目标</w:t>
      </w:r>
    </w:p>
    <w:p>
      <w:pPr>
        <w:keepNext w:val="0"/>
        <w:keepLines w:val="0"/>
        <w:pageBreakBefore w:val="0"/>
        <w:kinsoku/>
        <w:wordWrap/>
        <w:overflowPunct/>
        <w:topLinePunct w:val="0"/>
        <w:bidi w:val="0"/>
        <w:spacing w:line="570" w:lineRule="exac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贯彻国家总局、省局、市局</w:t>
      </w:r>
      <w:r>
        <w:rPr>
          <w:rFonts w:hint="eastAsia" w:ascii="仿宋_GB2312" w:hAnsi="仿宋_GB2312" w:eastAsia="仿宋_GB2312" w:cs="仿宋_GB2312"/>
          <w:sz w:val="32"/>
          <w:szCs w:val="32"/>
          <w:lang w:eastAsia="zh-CN"/>
        </w:rPr>
        <w:t>决策部署，</w:t>
      </w:r>
      <w:r>
        <w:rPr>
          <w:rFonts w:hint="eastAsia" w:ascii="仿宋_GB2312" w:hAnsi="仿宋_GB2312" w:eastAsia="仿宋_GB2312" w:cs="仿宋_GB2312"/>
          <w:sz w:val="32"/>
          <w:szCs w:val="32"/>
          <w:lang w:val="en-US" w:eastAsia="zh-CN"/>
        </w:rPr>
        <w:t>聚焦“民意最盼、危害最大、市场监管风险和压力最大”的重点领域，</w:t>
      </w:r>
      <w:r>
        <w:rPr>
          <w:rFonts w:hint="eastAsia" w:ascii="仿宋_GB2312" w:hAnsi="仿宋_GB2312" w:eastAsia="仿宋_GB2312" w:cs="仿宋_GB2312"/>
          <w:sz w:val="32"/>
          <w:szCs w:val="32"/>
          <w:lang w:eastAsia="zh-CN"/>
        </w:rPr>
        <w:t>聚焦</w:t>
      </w:r>
      <w:r>
        <w:rPr>
          <w:rFonts w:hint="eastAsia" w:ascii="仿宋_GB2312" w:hAnsi="仿宋_GB2312" w:eastAsia="仿宋_GB2312" w:cs="仿宋_GB2312"/>
          <w:sz w:val="32"/>
          <w:szCs w:val="32"/>
          <w:lang w:val="en-US" w:eastAsia="zh-CN"/>
        </w:rPr>
        <w:t>高新区</w:t>
      </w:r>
      <w:r>
        <w:rPr>
          <w:rFonts w:hint="eastAsia" w:ascii="仿宋_GB2312" w:hAnsi="仿宋_GB2312" w:eastAsia="仿宋_GB2312" w:cs="仿宋_GB2312"/>
          <w:sz w:val="32"/>
          <w:szCs w:val="32"/>
          <w:lang w:eastAsia="zh-CN"/>
        </w:rPr>
        <w:t>“工业强市、产业兴市”战略任务，</w:t>
      </w:r>
      <w:r>
        <w:rPr>
          <w:rFonts w:hint="eastAsia" w:ascii="仿宋_GB2312" w:hAnsi="仿宋_GB2312" w:eastAsia="仿宋_GB2312" w:cs="仿宋_GB2312"/>
          <w:sz w:val="32"/>
          <w:szCs w:val="32"/>
          <w:lang w:val="en-US" w:eastAsia="zh-CN"/>
        </w:rPr>
        <w:t>坚持“严真细实快”，严厉查办一批民生领域重点典型案件，切实让监管“长出牙齿”</w:t>
      </w:r>
      <w:r>
        <w:rPr>
          <w:rFonts w:hint="eastAsia" w:ascii="仿宋_GB2312" w:hAnsi="仿宋_GB2312" w:eastAsia="仿宋_GB2312" w:cs="仿宋_GB2312"/>
          <w:sz w:val="32"/>
          <w:szCs w:val="32"/>
          <w:lang w:eastAsia="zh-CN"/>
        </w:rPr>
        <w:t>。坚持打宣结合，加</w:t>
      </w:r>
      <w:r>
        <w:rPr>
          <w:rFonts w:hint="eastAsia" w:ascii="仿宋_GB2312" w:hAnsi="仿宋_GB2312" w:eastAsia="仿宋_GB2312" w:cs="仿宋_GB2312"/>
          <w:sz w:val="32"/>
          <w:szCs w:val="32"/>
          <w:lang w:val="en-US" w:eastAsia="zh-CN"/>
        </w:rPr>
        <w:t>大宣传</w:t>
      </w:r>
      <w:r>
        <w:rPr>
          <w:rFonts w:hint="eastAsia" w:ascii="仿宋_GB2312" w:hAnsi="仿宋_GB2312" w:eastAsia="仿宋_GB2312" w:cs="仿宋_GB2312"/>
          <w:sz w:val="32"/>
          <w:szCs w:val="32"/>
          <w:lang w:eastAsia="zh-CN"/>
        </w:rPr>
        <w:t>曝光</w:t>
      </w:r>
      <w:r>
        <w:rPr>
          <w:rFonts w:hint="eastAsia" w:ascii="仿宋_GB2312" w:hAnsi="仿宋_GB2312" w:eastAsia="仿宋_GB2312" w:cs="仿宋_GB2312"/>
          <w:sz w:val="32"/>
          <w:szCs w:val="32"/>
          <w:lang w:val="en-US" w:eastAsia="zh-CN"/>
        </w:rPr>
        <w:t>力度</w:t>
      </w:r>
      <w:r>
        <w:rPr>
          <w:rFonts w:hint="eastAsia" w:ascii="仿宋_GB2312" w:hAnsi="仿宋_GB2312" w:eastAsia="仿宋_GB2312" w:cs="仿宋_GB2312"/>
          <w:sz w:val="32"/>
          <w:szCs w:val="32"/>
          <w:lang w:eastAsia="zh-CN"/>
        </w:rPr>
        <w:t>，触发宣传集聚效应，突出震慑警示作用，强力</w:t>
      </w:r>
      <w:r>
        <w:rPr>
          <w:rFonts w:hint="eastAsia" w:ascii="仿宋_GB2312" w:hAnsi="仿宋_GB2312" w:eastAsia="仿宋_GB2312" w:cs="仿宋_GB2312"/>
          <w:sz w:val="32"/>
          <w:szCs w:val="32"/>
          <w:lang w:val="en-US" w:eastAsia="zh-CN"/>
        </w:rPr>
        <w:t>震慑违法犯罪。通过全系统共同努力，确保高新区“铁拳”行动查办案件数量、大案要案起数、典型案例件数、宣传曝光频次等同比稳步增长，推动“铁拳”行动案件查处更加有深度、曝光震慑更加有力度、执法品牌更加有亮度，以优异成绩迎接党的二十大胜利召开。</w:t>
      </w:r>
    </w:p>
    <w:p>
      <w:pPr>
        <w:pStyle w:val="9"/>
        <w:keepNext w:val="0"/>
        <w:keepLines w:val="0"/>
        <w:pageBreakBefore w:val="0"/>
        <w:numPr>
          <w:ilvl w:val="0"/>
          <w:numId w:val="0"/>
        </w:numPr>
        <w:kinsoku/>
        <w:wordWrap/>
        <w:overflowPunct/>
        <w:topLinePunct w:val="0"/>
        <w:bidi w:val="0"/>
        <w:spacing w:line="570" w:lineRule="exact"/>
        <w:ind w:right="0" w:rightChars="0"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二、重点任务及责任科室</w:t>
      </w:r>
    </w:p>
    <w:p>
      <w:pPr>
        <w:keepNext w:val="0"/>
        <w:keepLines w:val="0"/>
        <w:pageBreakBefore w:val="0"/>
        <w:kinsoku/>
        <w:wordWrap/>
        <w:overflowPunct/>
        <w:topLinePunct w:val="0"/>
        <w:bidi w:val="0"/>
        <w:spacing w:line="570" w:lineRule="exac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问题导向、目标导向，聚焦民生领域，巩固2021年“铁拳”行动成果，以总局确定八类查办重点、省局新增三类查办重点和市局新增两类查办重点为重点执法领域。锚定总局、省局、市局梳理的查办事项，不折不扣抓好落实，确保专项行动取得实效。</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（一）总局明确的八类查办重点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1.食用油掺杂掺假；</w:t>
      </w:r>
      <w:r>
        <w:rPr>
          <w:rFonts w:hint="eastAsia" w:hAnsi="仿宋_GB2312" w:cs="仿宋_GB2312"/>
          <w:sz w:val="32"/>
          <w:szCs w:val="32"/>
          <w:lang w:val="en-US" w:eastAsia="zh-CN"/>
        </w:rPr>
        <w:t>（责任科室：食药科）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2.声称减肥、壮阳等食品非法添加；</w:t>
      </w:r>
      <w:r>
        <w:rPr>
          <w:rFonts w:hint="eastAsia" w:hAnsi="仿宋_GB2312" w:cs="仿宋_GB2312"/>
          <w:sz w:val="32"/>
          <w:szCs w:val="32"/>
          <w:lang w:val="en-US" w:eastAsia="zh-CN"/>
        </w:rPr>
        <w:t>（责任科室：食药科）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3.油品质量违法和加油站计量作弊；</w:t>
      </w:r>
      <w:r>
        <w:rPr>
          <w:rFonts w:hint="eastAsia" w:hAnsi="仿宋_GB2312" w:cs="仿宋_GB2312"/>
          <w:sz w:val="32"/>
          <w:szCs w:val="32"/>
          <w:lang w:val="en-US" w:eastAsia="zh-CN"/>
        </w:rPr>
        <w:t>（责任科室：</w:t>
      </w:r>
      <w:r>
        <w:rPr>
          <w:rFonts w:hint="eastAsia" w:ascii="仿宋_GB2312" w:hAnsi="仿宋_GB2312" w:eastAsia="仿宋_GB2312" w:cs="仿宋_GB2312"/>
          <w:sz w:val="32"/>
          <w:szCs w:val="32"/>
          <w:lang w:val="en-US" w:eastAsia="zh-CN"/>
        </w:rPr>
        <w:t>油品质量违法</w:t>
      </w:r>
      <w:r>
        <w:rPr>
          <w:rFonts w:hint="eastAsia" w:hAnsi="仿宋_GB2312" w:cs="仿宋_GB2312"/>
          <w:sz w:val="32"/>
          <w:szCs w:val="32"/>
          <w:lang w:val="en-US" w:eastAsia="zh-CN"/>
        </w:rPr>
        <w:t>属于监督管理科、</w:t>
      </w:r>
      <w:r>
        <w:rPr>
          <w:rFonts w:hint="eastAsia" w:ascii="仿宋_GB2312" w:hAnsi="仿宋_GB2312" w:eastAsia="仿宋_GB2312" w:cs="仿宋_GB2312"/>
          <w:sz w:val="32"/>
          <w:szCs w:val="32"/>
          <w:lang w:val="en-US" w:eastAsia="zh-CN"/>
        </w:rPr>
        <w:t>加油站计量作弊</w:t>
      </w:r>
      <w:r>
        <w:rPr>
          <w:rFonts w:hint="eastAsia" w:hAnsi="仿宋_GB2312" w:cs="仿宋_GB2312"/>
          <w:sz w:val="32"/>
          <w:szCs w:val="32"/>
          <w:lang w:val="en-US" w:eastAsia="zh-CN"/>
        </w:rPr>
        <w:t>属于质监科）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4.“神医”“神药”等虚假违法广告；</w:t>
      </w:r>
      <w:r>
        <w:rPr>
          <w:rFonts w:hint="eastAsia" w:hAnsi="仿宋_GB2312" w:cs="仿宋_GB2312"/>
          <w:sz w:val="32"/>
          <w:szCs w:val="32"/>
          <w:lang w:val="en-US" w:eastAsia="zh-CN"/>
        </w:rPr>
        <w:t>（责任科室：监督管理科）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5.医疗美容领域虚假宣传；</w:t>
      </w:r>
      <w:r>
        <w:rPr>
          <w:rFonts w:hint="eastAsia" w:hAnsi="仿宋_GB2312" w:cs="仿宋_GB2312"/>
          <w:sz w:val="32"/>
          <w:szCs w:val="32"/>
          <w:lang w:val="en-US" w:eastAsia="zh-CN"/>
        </w:rPr>
        <w:t>（责任科室：监督管理科）</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6.翻新“黑气瓶”和劣质燃气具；</w:t>
      </w:r>
      <w:r>
        <w:rPr>
          <w:rFonts w:hint="eastAsia" w:hAnsi="仿宋_GB2312" w:cs="仿宋_GB2312"/>
          <w:sz w:val="32"/>
          <w:szCs w:val="32"/>
          <w:lang w:val="en-US" w:eastAsia="zh-CN"/>
        </w:rPr>
        <w:t>（责任科室：质监科）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7.超期未检电梯；</w:t>
      </w:r>
      <w:r>
        <w:rPr>
          <w:rFonts w:hint="eastAsia" w:hAnsi="仿宋_GB2312" w:cs="仿宋_GB2312"/>
          <w:sz w:val="32"/>
          <w:szCs w:val="32"/>
          <w:lang w:val="en-US" w:eastAsia="zh-CN"/>
        </w:rPr>
        <w:t>（责任科室：质监科）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8.面向未成年人开展“无底线营销”。</w:t>
      </w:r>
      <w:r>
        <w:rPr>
          <w:rFonts w:hint="eastAsia" w:hAnsi="仿宋_GB2312" w:cs="仿宋_GB2312"/>
          <w:sz w:val="32"/>
          <w:szCs w:val="32"/>
          <w:lang w:val="en-US" w:eastAsia="zh-CN"/>
        </w:rPr>
        <w:t>（责任科室：监督管理科）</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（二）省局确定的三类查办重点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1.生产销售劣质钢筋、电线电缆；</w:t>
      </w:r>
      <w:r>
        <w:rPr>
          <w:rFonts w:hint="eastAsia" w:hAnsi="仿宋_GB2312" w:cs="仿宋_GB2312"/>
          <w:sz w:val="32"/>
          <w:szCs w:val="32"/>
          <w:lang w:val="en-US" w:eastAsia="zh-CN"/>
        </w:rPr>
        <w:t>（责任科室：生产属于质监科、销售属于监督管理科）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2.房地产虚假违法广告；</w:t>
      </w:r>
      <w:r>
        <w:rPr>
          <w:rFonts w:hint="eastAsia" w:hAnsi="仿宋_GB2312" w:cs="仿宋_GB2312"/>
          <w:sz w:val="32"/>
          <w:szCs w:val="32"/>
          <w:lang w:val="en-US" w:eastAsia="zh-CN"/>
        </w:rPr>
        <w:t>（责任科室：监督管理科）</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3.超市、医疗卫生机构、粮食购销等领域计量违法。</w:t>
      </w:r>
      <w:r>
        <w:rPr>
          <w:rFonts w:hint="eastAsia" w:hAnsi="仿宋_GB2312" w:cs="仿宋_GB2312"/>
          <w:sz w:val="32"/>
          <w:szCs w:val="32"/>
          <w:lang w:val="en-US" w:eastAsia="zh-CN"/>
        </w:rPr>
        <w:t>（责任科室：质监科）</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（三）市局确定的两类类查办重点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生产销售不合格水泥；</w:t>
      </w:r>
      <w:r>
        <w:rPr>
          <w:rFonts w:hint="eastAsia" w:hAnsi="仿宋_GB2312" w:cs="仿宋_GB2312"/>
          <w:sz w:val="32"/>
          <w:szCs w:val="32"/>
          <w:lang w:val="en-US" w:eastAsia="zh-CN"/>
        </w:rPr>
        <w:t>（责任科室：生产属于质监科、销售属于监督管理科）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生产销售不合格童车童床</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（责任科室：生产属于质监科、销售属于监督管理科）</w:t>
      </w:r>
    </w:p>
    <w:p>
      <w:pPr>
        <w:pStyle w:val="9"/>
        <w:keepNext w:val="0"/>
        <w:keepLines w:val="0"/>
        <w:pageBreakBefore w:val="0"/>
        <w:numPr>
          <w:ilvl w:val="0"/>
          <w:numId w:val="0"/>
        </w:numPr>
        <w:kinsoku/>
        <w:wordWrap/>
        <w:overflowPunct/>
        <w:topLinePunct w:val="0"/>
        <w:bidi w:val="0"/>
        <w:spacing w:line="570" w:lineRule="exact"/>
        <w:ind w:right="0" w:righ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pPr>
        <w:keepNext w:val="0"/>
        <w:keepLines w:val="0"/>
        <w:pageBreakBefore w:val="0"/>
        <w:numPr>
          <w:ilvl w:val="0"/>
          <w:numId w:val="0"/>
        </w:numPr>
        <w:kinsoku/>
        <w:wordWrap/>
        <w:overflowPunct/>
        <w:topLinePunct w:val="0"/>
        <w:autoSpaceDE w:val="0"/>
        <w:autoSpaceDN w:val="0"/>
        <w:bidi w:val="0"/>
        <w:adjustRightInd w:val="0"/>
        <w:spacing w:line="570" w:lineRule="exact"/>
        <w:ind w:right="0" w:rightChars="0" w:firstLine="643" w:firstLineChars="200"/>
        <w:jc w:val="left"/>
        <w:rPr>
          <w:rFonts w:hint="eastAsia" w:ascii="仿宋_GB2312" w:hAnsi="仿宋_GB2312" w:eastAsia="仿宋_GB2312" w:cs="仿宋_GB2312"/>
          <w:kern w:val="0"/>
          <w:sz w:val="32"/>
          <w:szCs w:val="32"/>
          <w:lang w:val="en-US" w:eastAsia="zh-CN"/>
        </w:rPr>
      </w:pPr>
      <w:r>
        <w:rPr>
          <w:rFonts w:hint="eastAsia" w:ascii="楷体" w:hAnsi="楷体" w:eastAsia="楷体" w:cs="楷体"/>
          <w:b/>
          <w:bCs/>
          <w:kern w:val="2"/>
          <w:sz w:val="32"/>
          <w:szCs w:val="32"/>
          <w:lang w:val="en-US" w:eastAsia="zh-CN" w:bidi="ar-SA"/>
        </w:rPr>
        <w:t>（一）高位统筹协调，同心聚力推动。</w:t>
      </w:r>
      <w:r>
        <w:rPr>
          <w:rFonts w:hint="eastAsia" w:ascii="仿宋_GB2312" w:hAnsi="仿宋_GB2312" w:eastAsia="仿宋_GB2312" w:cs="仿宋_GB2312"/>
          <w:sz w:val="32"/>
          <w:szCs w:val="32"/>
          <w:lang w:val="en-US" w:eastAsia="zh-CN"/>
        </w:rPr>
        <w:t>建立主要领导统筹谋划、分管领导靠前指挥、成员单位各司其职、专项行动办公室牵头协调的工作机制。推进日常监管与执法办案有效衔接，建立行政审批局与综合执法局</w:t>
      </w:r>
      <w:r>
        <w:rPr>
          <w:rFonts w:hint="eastAsia" w:ascii="仿宋_GB2312" w:hAnsi="仿宋_GB2312" w:eastAsia="仿宋_GB2312" w:cs="仿宋_GB2312"/>
          <w:color w:val="auto"/>
          <w:sz w:val="32"/>
          <w:szCs w:val="32"/>
          <w:lang w:val="en-US" w:eastAsia="zh-CN"/>
        </w:rPr>
        <w:t>定期分析研判以及违</w:t>
      </w:r>
      <w:r>
        <w:rPr>
          <w:rFonts w:hint="eastAsia" w:ascii="仿宋_GB2312" w:hAnsi="仿宋_GB2312" w:eastAsia="仿宋_GB2312" w:cs="仿宋_GB2312"/>
          <w:sz w:val="32"/>
          <w:szCs w:val="32"/>
          <w:lang w:val="en-US" w:eastAsia="zh-CN"/>
        </w:rPr>
        <w:t>法线索、办案信息双向移送制度。</w:t>
      </w:r>
      <w:r>
        <w:rPr>
          <w:rFonts w:hint="eastAsia" w:ascii="仿宋_GB2312" w:hAnsi="仿宋_GB2312" w:eastAsia="仿宋_GB2312" w:cs="仿宋_GB2312"/>
          <w:kern w:val="0"/>
          <w:sz w:val="32"/>
          <w:szCs w:val="32"/>
          <w:lang w:val="en-US" w:eastAsia="zh-CN"/>
        </w:rPr>
        <w:t>加</w:t>
      </w:r>
      <w:r>
        <w:rPr>
          <w:rFonts w:hint="eastAsia" w:ascii="仿宋_GB2312" w:hAnsi="仿宋_GB2312" w:eastAsia="仿宋_GB2312" w:cs="仿宋_GB2312"/>
          <w:color w:val="auto"/>
          <w:kern w:val="2"/>
          <w:sz w:val="32"/>
          <w:szCs w:val="32"/>
          <w:lang w:val="en-US" w:eastAsia="zh-CN" w:bidi="ar-SA"/>
        </w:rPr>
        <w:t>强网络交易监测和12315平台大数据动态分析，鼓励社会公众举报违法行为，为执法办案提供靶向信息。</w:t>
      </w:r>
      <w:r>
        <w:rPr>
          <w:rFonts w:hint="eastAsia" w:ascii="仿宋_GB2312" w:hAnsi="仿宋_GB2312" w:eastAsia="仿宋_GB2312" w:cs="仿宋_GB2312"/>
          <w:kern w:val="0"/>
          <w:sz w:val="32"/>
          <w:szCs w:val="32"/>
          <w:lang w:val="en-US" w:eastAsia="zh-CN"/>
        </w:rPr>
        <w:t>密切关注舆情动态，加强</w:t>
      </w:r>
      <w:r>
        <w:rPr>
          <w:rFonts w:hint="eastAsia" w:ascii="仿宋_GB2312" w:hAnsi="仿宋_GB2312" w:eastAsia="仿宋_GB2312" w:cs="仿宋_GB2312"/>
          <w:kern w:val="0"/>
          <w:sz w:val="32"/>
          <w:szCs w:val="32"/>
          <w:lang w:eastAsia="zh-CN"/>
        </w:rPr>
        <w:t>与行业协会、</w:t>
      </w:r>
      <w:r>
        <w:rPr>
          <w:rFonts w:hint="eastAsia" w:ascii="仿宋_GB2312" w:hAnsi="仿宋_GB2312" w:eastAsia="仿宋_GB2312" w:cs="仿宋_GB2312"/>
          <w:kern w:val="0"/>
          <w:sz w:val="32"/>
          <w:szCs w:val="32"/>
          <w:lang w:val="en-US" w:eastAsia="zh-CN"/>
        </w:rPr>
        <w:t>新闻媒体</w:t>
      </w:r>
      <w:r>
        <w:rPr>
          <w:rFonts w:hint="eastAsia" w:ascii="仿宋_GB2312" w:hAnsi="仿宋_GB2312" w:eastAsia="仿宋_GB2312" w:cs="仿宋_GB2312"/>
          <w:kern w:val="0"/>
          <w:sz w:val="32"/>
          <w:szCs w:val="32"/>
          <w:lang w:eastAsia="zh-CN"/>
        </w:rPr>
        <w:t>、企业等信息交流，研判分析社会关注热点和业内突出问题，</w:t>
      </w:r>
      <w:r>
        <w:rPr>
          <w:rFonts w:hint="eastAsia" w:ascii="仿宋_GB2312" w:hAnsi="仿宋_GB2312" w:eastAsia="仿宋_GB2312" w:cs="仿宋_GB2312"/>
          <w:kern w:val="0"/>
          <w:sz w:val="32"/>
          <w:szCs w:val="32"/>
          <w:lang w:val="en-US" w:eastAsia="zh-CN"/>
        </w:rPr>
        <w:t>持续跟踪打击违法行为。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kern w:val="2"/>
          <w:sz w:val="32"/>
          <w:szCs w:val="32"/>
          <w:lang w:val="en-US" w:eastAsia="zh-CN" w:bidi="ar-SA"/>
        </w:rPr>
        <w:t>（二）强化协作配合，凝聚执法合力。</w:t>
      </w:r>
      <w:r>
        <w:rPr>
          <w:rFonts w:hint="eastAsia" w:ascii="仿宋_GB2312" w:hAnsi="仿宋_GB2312" w:eastAsia="仿宋_GB2312" w:cs="仿宋_GB2312"/>
          <w:kern w:val="0"/>
          <w:sz w:val="32"/>
          <w:szCs w:val="32"/>
          <w:lang w:val="en-US" w:eastAsia="zh-CN"/>
        </w:rPr>
        <w:t>各科室、所要认真落实《市场监管执法稽查案件协助调查管理规定》，推进上下</w:t>
      </w:r>
      <w:r>
        <w:rPr>
          <w:rFonts w:hint="eastAsia" w:ascii="仿宋_GB2312" w:hAnsi="仿宋_GB2312" w:eastAsia="仿宋_GB2312" w:cs="仿宋_GB2312"/>
          <w:sz w:val="32"/>
          <w:szCs w:val="32"/>
          <w:lang w:val="en-US" w:eastAsia="zh-CN"/>
        </w:rPr>
        <w:t>级、跨区域执法协作。坚持案件查处督导指导常态化，建立专家联系人制度，会商研究解决案件查办中重大疑难问题，对于上级市场监管部门转交的案件线索，要加大协调指导和跟踪督办力度，确保件件有回音。同</w:t>
      </w:r>
      <w:r>
        <w:rPr>
          <w:rFonts w:hint="eastAsia" w:ascii="仿宋_GB2312" w:hAnsi="仿宋_GB2312" w:eastAsia="仿宋_GB2312" w:cs="仿宋_GB2312"/>
          <w:sz w:val="32"/>
          <w:szCs w:val="32"/>
        </w:rPr>
        <w:t>综合执法</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建立协调</w:t>
      </w:r>
      <w:r>
        <w:rPr>
          <w:rFonts w:hint="eastAsia" w:ascii="仿宋_GB2312" w:hAnsi="仿宋_GB2312" w:eastAsia="仿宋_GB2312" w:cs="仿宋_GB2312"/>
          <w:sz w:val="32"/>
          <w:szCs w:val="32"/>
          <w:lang w:val="en-US" w:eastAsia="zh-CN"/>
        </w:rPr>
        <w:t>配合</w:t>
      </w:r>
      <w:r>
        <w:rPr>
          <w:rFonts w:hint="eastAsia" w:ascii="仿宋_GB2312" w:hAnsi="仿宋_GB2312" w:eastAsia="仿宋_GB2312" w:cs="仿宋_GB2312"/>
          <w:sz w:val="32"/>
          <w:szCs w:val="32"/>
        </w:rPr>
        <w:t>机制，</w:t>
      </w:r>
      <w:r>
        <w:rPr>
          <w:rFonts w:hint="eastAsia" w:ascii="仿宋_GB2312" w:hAnsi="仿宋_GB2312" w:eastAsia="仿宋_GB2312" w:cs="仿宋_GB2312"/>
          <w:sz w:val="32"/>
          <w:szCs w:val="32"/>
          <w:lang w:val="en-US" w:eastAsia="zh-CN"/>
        </w:rPr>
        <w:t>及时按程序移交</w:t>
      </w:r>
      <w:r>
        <w:rPr>
          <w:rFonts w:hint="eastAsia" w:ascii="仿宋_GB2312" w:hAnsi="仿宋_GB2312" w:eastAsia="仿宋_GB2312" w:cs="仿宋_GB2312"/>
          <w:sz w:val="32"/>
          <w:szCs w:val="32"/>
        </w:rPr>
        <w:t>案件</w:t>
      </w:r>
      <w:r>
        <w:rPr>
          <w:rFonts w:hint="eastAsia" w:ascii="仿宋_GB2312" w:hAnsi="仿宋_GB2312" w:eastAsia="仿宋_GB2312" w:cs="仿宋_GB2312"/>
          <w:sz w:val="32"/>
          <w:szCs w:val="32"/>
          <w:lang w:val="en-US" w:eastAsia="zh-CN"/>
        </w:rPr>
        <w:t>线索</w:t>
      </w:r>
      <w:r>
        <w:rPr>
          <w:rFonts w:hint="eastAsia" w:ascii="仿宋_GB2312" w:hAnsi="仿宋_GB2312" w:eastAsia="仿宋_GB2312" w:cs="仿宋_GB2312"/>
          <w:sz w:val="32"/>
          <w:szCs w:val="32"/>
        </w:rPr>
        <w:t>，协调推进重大联动监管执法工作等。</w:t>
      </w:r>
      <w:r>
        <w:rPr>
          <w:rFonts w:hint="eastAsia" w:ascii="仿宋_GB2312" w:hAnsi="仿宋_GB2312" w:eastAsia="仿宋_GB2312" w:cs="仿宋_GB2312"/>
          <w:sz w:val="32"/>
          <w:szCs w:val="32"/>
          <w:lang w:val="en-US" w:eastAsia="zh-CN"/>
        </w:rPr>
        <w:t>推进加强与公安机关协作，推进行刑衔接，发挥各自优势，依法严惩违法犯罪行为。继续推进行政执法与纪检监察监督贯通协同，强化执法监督，促进严格、规范、公正、文明执法。</w:t>
      </w:r>
    </w:p>
    <w:p>
      <w:pPr>
        <w:keepNext w:val="0"/>
        <w:keepLines w:val="0"/>
        <w:pageBreakBefore w:val="0"/>
        <w:numPr>
          <w:ilvl w:val="0"/>
          <w:numId w:val="0"/>
        </w:numPr>
        <w:kinsoku/>
        <w:wordWrap/>
        <w:overflowPunct/>
        <w:topLinePunct w:val="0"/>
        <w:autoSpaceDE w:val="0"/>
        <w:autoSpaceDN w:val="0"/>
        <w:bidi w:val="0"/>
        <w:adjustRightInd w:val="0"/>
        <w:spacing w:line="570" w:lineRule="exact"/>
        <w:ind w:right="0" w:rightChars="0" w:firstLine="643" w:firstLineChars="200"/>
        <w:jc w:val="left"/>
        <w:rPr>
          <w:rFonts w:hint="eastAsia" w:ascii="仿宋_GB2312" w:hAnsi="仿宋_GB2312" w:eastAsia="仿宋_GB2312" w:cs="仿宋_GB2312"/>
          <w:kern w:val="0"/>
          <w:sz w:val="32"/>
          <w:szCs w:val="32"/>
          <w:lang w:val="en-US" w:eastAsia="zh-CN"/>
        </w:rPr>
      </w:pPr>
      <w:r>
        <w:rPr>
          <w:rFonts w:hint="eastAsia" w:ascii="楷体" w:hAnsi="楷体" w:eastAsia="楷体" w:cs="楷体"/>
          <w:b/>
          <w:bCs/>
          <w:kern w:val="2"/>
          <w:sz w:val="32"/>
          <w:szCs w:val="32"/>
          <w:lang w:val="en-US" w:eastAsia="zh-CN" w:bidi="ar-SA"/>
        </w:rPr>
        <w:t>（三）全面立体宣传，擦亮“铁拳”品牌。</w:t>
      </w:r>
      <w:r>
        <w:rPr>
          <w:rFonts w:hint="eastAsia" w:ascii="仿宋_GB2312" w:hAnsi="仿宋_GB2312" w:eastAsia="仿宋_GB2312" w:cs="仿宋_GB2312"/>
          <w:sz w:val="32"/>
          <w:szCs w:val="32"/>
          <w:lang w:val="en-US" w:eastAsia="zh-CN"/>
        </w:rPr>
        <w:t>坚持政治效果、法律效果、社会效果有机统一原则，着眼“既要打好，又要讲好”目标，用足集聚式、系统化手段，</w:t>
      </w:r>
      <w:r>
        <w:rPr>
          <w:rFonts w:hint="eastAsia" w:ascii="仿宋_GB2312" w:hAnsi="仿宋_GB2312" w:eastAsia="仿宋_GB2312" w:cs="仿宋_GB2312"/>
          <w:kern w:val="0"/>
          <w:sz w:val="32"/>
          <w:szCs w:val="32"/>
          <w:lang w:val="en-US" w:eastAsia="zh-CN"/>
        </w:rPr>
        <w:t>充分展现案件查办成效，持续释放震慑效果</w:t>
      </w:r>
      <w:r>
        <w:rPr>
          <w:rFonts w:hint="eastAsia" w:ascii="仿宋_GB2312" w:hAnsi="仿宋_GB2312" w:eastAsia="仿宋_GB2312" w:cs="仿宋_GB2312"/>
          <w:sz w:val="32"/>
          <w:szCs w:val="32"/>
          <w:lang w:val="en-US" w:eastAsia="zh-CN"/>
        </w:rPr>
        <w:t>。依据上级部署要求，同步制定宣传方案，把握重要节点，</w:t>
      </w:r>
      <w:r>
        <w:rPr>
          <w:rFonts w:hint="eastAsia" w:ascii="仿宋_GB2312" w:hAnsi="仿宋_GB2312" w:eastAsia="仿宋_GB2312" w:cs="仿宋_GB2312"/>
          <w:kern w:val="0"/>
          <w:sz w:val="32"/>
          <w:szCs w:val="32"/>
          <w:lang w:val="en-US" w:eastAsia="zh-CN"/>
        </w:rPr>
        <w:t>突出宣传主题，定期曝光典型案件，开展全方位立体宣传。</w:t>
      </w:r>
      <w:r>
        <w:rPr>
          <w:rFonts w:hint="eastAsia" w:ascii="仿宋_GB2312" w:hAnsi="仿宋_GB2312" w:eastAsia="仿宋_GB2312" w:cs="仿宋_GB2312"/>
          <w:sz w:val="32"/>
          <w:szCs w:val="32"/>
          <w:lang w:val="en-US" w:eastAsia="zh-CN"/>
        </w:rPr>
        <w:t>有效利用</w:t>
      </w:r>
      <w:r>
        <w:rPr>
          <w:rFonts w:hint="eastAsia" w:ascii="仿宋_GB2312" w:hAnsi="仿宋_GB2312" w:eastAsia="仿宋_GB2312" w:cs="仿宋_GB2312"/>
          <w:kern w:val="0"/>
          <w:sz w:val="32"/>
          <w:szCs w:val="32"/>
          <w:lang w:val="en-US" w:eastAsia="zh-CN"/>
        </w:rPr>
        <w:t>执法办案影像资料，精选案例开展深度报道，以案释法，以案普法，积</w:t>
      </w:r>
      <w:r>
        <w:rPr>
          <w:rFonts w:hint="eastAsia" w:ascii="仿宋_GB2312" w:hAnsi="仿宋_GB2312" w:eastAsia="仿宋_GB2312" w:cs="仿宋_GB2312"/>
          <w:color w:val="auto"/>
          <w:kern w:val="0"/>
          <w:sz w:val="32"/>
          <w:szCs w:val="32"/>
          <w:lang w:val="en-US" w:eastAsia="zh-CN"/>
        </w:rPr>
        <w:t>极回应社会关切，切实提</w:t>
      </w:r>
      <w:r>
        <w:rPr>
          <w:rFonts w:hint="eastAsia" w:ascii="仿宋_GB2312" w:hAnsi="仿宋_GB2312" w:eastAsia="仿宋_GB2312" w:cs="仿宋_GB2312"/>
          <w:kern w:val="0"/>
          <w:sz w:val="32"/>
          <w:szCs w:val="32"/>
          <w:lang w:val="en-US" w:eastAsia="zh-CN"/>
        </w:rPr>
        <w:t>升宣传曝光效果。</w:t>
      </w:r>
    </w:p>
    <w:p>
      <w:pPr>
        <w:pStyle w:val="9"/>
        <w:keepNext w:val="0"/>
        <w:keepLines w:val="0"/>
        <w:pageBreakBefore w:val="0"/>
        <w:numPr>
          <w:ilvl w:val="0"/>
          <w:numId w:val="0"/>
        </w:numPr>
        <w:kinsoku/>
        <w:wordWrap/>
        <w:overflowPunct/>
        <w:topLinePunct w:val="0"/>
        <w:bidi w:val="0"/>
        <w:spacing w:line="570" w:lineRule="exact"/>
        <w:ind w:right="0" w:rightChars="0" w:firstLine="643" w:firstLineChars="200"/>
        <w:rPr>
          <w:rFonts w:hint="eastAsia" w:ascii="仿宋_GB2312" w:hAnsi="仿宋_GB2312" w:eastAsia="仿宋_GB2312" w:cs="仿宋_GB2312"/>
          <w:sz w:val="32"/>
          <w:szCs w:val="32"/>
          <w:lang w:eastAsia="zh-CN"/>
        </w:rPr>
      </w:pPr>
      <w:r>
        <w:rPr>
          <w:rFonts w:hint="eastAsia" w:ascii="楷体" w:hAnsi="楷体" w:eastAsia="楷体" w:cs="楷体"/>
          <w:b/>
          <w:bCs/>
          <w:kern w:val="2"/>
          <w:sz w:val="32"/>
          <w:szCs w:val="32"/>
          <w:lang w:val="en-US" w:eastAsia="zh-CN" w:bidi="ar-SA"/>
        </w:rPr>
        <w:t>（四）加大惩戒力度，提高违法成本。</w:t>
      </w:r>
      <w:r>
        <w:rPr>
          <w:rFonts w:hint="eastAsia" w:ascii="仿宋_GB2312" w:hAnsi="仿宋_GB2312" w:eastAsia="仿宋_GB2312" w:cs="仿宋_GB2312"/>
          <w:sz w:val="32"/>
          <w:szCs w:val="32"/>
          <w:lang w:val="en-US" w:eastAsia="zh-CN"/>
        </w:rPr>
        <w:t>坚持违法案件应曝尽曝，加强舆论监督，扩大办案影响。</w:t>
      </w:r>
      <w:r>
        <w:rPr>
          <w:rFonts w:hint="eastAsia" w:ascii="仿宋_GB2312" w:hAnsi="仿宋_GB2312" w:eastAsia="仿宋_GB2312" w:cs="仿宋_GB2312"/>
          <w:kern w:val="0"/>
          <w:sz w:val="32"/>
          <w:szCs w:val="32"/>
          <w:lang w:val="en-US" w:eastAsia="zh-CN"/>
        </w:rPr>
        <w:t>依法需要处罚到人的案件，坚决处罚到人。</w:t>
      </w:r>
      <w:r>
        <w:rPr>
          <w:rFonts w:hint="eastAsia" w:ascii="仿宋_GB2312" w:hAnsi="仿宋_GB2312" w:eastAsia="仿宋_GB2312" w:cs="仿宋_GB2312"/>
          <w:sz w:val="32"/>
          <w:szCs w:val="32"/>
          <w:lang w:val="en-US" w:eastAsia="zh-CN"/>
        </w:rPr>
        <w:t>依法公开行政处罚信息，</w:t>
      </w:r>
      <w:r>
        <w:rPr>
          <w:rFonts w:hint="eastAsia" w:ascii="仿宋_GB2312" w:hAnsi="仿宋_GB2312" w:eastAsia="仿宋_GB2312" w:cs="仿宋_GB2312"/>
          <w:kern w:val="0"/>
          <w:sz w:val="32"/>
          <w:szCs w:val="32"/>
          <w:lang w:val="en-US" w:eastAsia="zh-CN"/>
        </w:rPr>
        <w:t>严格落实《市场监督管理严重违法失信名单管理办法》，</w:t>
      </w:r>
      <w:r>
        <w:rPr>
          <w:rFonts w:hint="eastAsia" w:ascii="仿宋_GB2312" w:hAnsi="仿宋_GB2312" w:eastAsia="仿宋_GB2312" w:cs="仿宋_GB2312"/>
          <w:sz w:val="32"/>
          <w:szCs w:val="32"/>
          <w:lang w:val="en-US" w:eastAsia="zh-CN"/>
        </w:rPr>
        <w:t>对违法行为情节严重的企业列入“黑名单”。</w:t>
      </w:r>
      <w:r>
        <w:rPr>
          <w:rFonts w:hint="eastAsia" w:ascii="仿宋_GB2312" w:hAnsi="仿宋_GB2312" w:eastAsia="仿宋_GB2312" w:cs="仿宋_GB2312"/>
          <w:sz w:val="32"/>
          <w:szCs w:val="32"/>
        </w:rPr>
        <w:t>推动严重违法失信</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信用信息</w:t>
      </w:r>
      <w:r>
        <w:rPr>
          <w:rFonts w:hint="eastAsia" w:ascii="仿宋_GB2312" w:hAnsi="仿宋_GB2312" w:eastAsia="仿宋_GB2312" w:cs="仿宋_GB2312"/>
          <w:sz w:val="32"/>
          <w:szCs w:val="32"/>
        </w:rPr>
        <w:t>互联共享，实施联合惩戒，</w:t>
      </w:r>
      <w:r>
        <w:rPr>
          <w:rFonts w:hint="eastAsia" w:ascii="仿宋_GB2312" w:hAnsi="仿宋_GB2312" w:eastAsia="仿宋_GB2312" w:cs="仿宋_GB2312"/>
          <w:kern w:val="0"/>
          <w:sz w:val="32"/>
          <w:szCs w:val="32"/>
          <w:lang w:val="en-US" w:eastAsia="zh-CN"/>
        </w:rPr>
        <w:t>促使市场主体存戒惧、知敬畏、守规矩</w:t>
      </w:r>
      <w:r>
        <w:rPr>
          <w:rFonts w:hint="eastAsia" w:ascii="仿宋_GB2312" w:hAnsi="仿宋_GB2312" w:eastAsia="仿宋_GB2312" w:cs="仿宋_GB2312"/>
          <w:sz w:val="32"/>
          <w:szCs w:val="32"/>
          <w:lang w:eastAsia="zh-CN"/>
        </w:rPr>
        <w:t>。</w:t>
      </w:r>
    </w:p>
    <w:p>
      <w:pPr>
        <w:pStyle w:val="9"/>
        <w:keepNext w:val="0"/>
        <w:keepLines w:val="0"/>
        <w:pageBreakBefore w:val="0"/>
        <w:numPr>
          <w:ilvl w:val="0"/>
          <w:numId w:val="0"/>
        </w:numPr>
        <w:kinsoku/>
        <w:wordWrap/>
        <w:overflowPunct/>
        <w:topLinePunct w:val="0"/>
        <w:bidi w:val="0"/>
        <w:spacing w:line="570" w:lineRule="exact"/>
        <w:ind w:right="0" w:rightChars="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四、工作要求</w:t>
      </w:r>
    </w:p>
    <w:p>
      <w:pPr>
        <w:pStyle w:val="9"/>
        <w:keepNext w:val="0"/>
        <w:keepLines w:val="0"/>
        <w:pageBreakBefore w:val="0"/>
        <w:numPr>
          <w:ilvl w:val="0"/>
          <w:numId w:val="0"/>
        </w:numPr>
        <w:kinsoku/>
        <w:wordWrap/>
        <w:overflowPunct/>
        <w:topLinePunct w:val="0"/>
        <w:bidi w:val="0"/>
        <w:spacing w:line="570" w:lineRule="exact"/>
        <w:ind w:right="0" w:rightChars="0" w:firstLine="643" w:firstLineChars="200"/>
        <w:rPr>
          <w:rFonts w:hint="eastAsia" w:ascii="仿宋_GB2312" w:hAnsi="仿宋_GB2312" w:eastAsia="仿宋_GB2312" w:cs="仿宋_GB2312"/>
          <w:sz w:val="32"/>
          <w:szCs w:val="32"/>
          <w:lang w:val="en-US" w:eastAsia="zh-CN"/>
        </w:rPr>
      </w:pPr>
      <w:r>
        <w:rPr>
          <w:rFonts w:hint="eastAsia" w:ascii="楷体" w:hAnsi="楷体" w:eastAsia="楷体" w:cs="楷体"/>
          <w:b/>
          <w:bCs/>
          <w:kern w:val="2"/>
          <w:sz w:val="32"/>
          <w:szCs w:val="32"/>
          <w:lang w:val="en-US" w:eastAsia="zh-CN" w:bidi="ar-SA"/>
        </w:rPr>
        <w:t>（一）认识务必再提高。</w:t>
      </w:r>
      <w:r>
        <w:rPr>
          <w:rFonts w:hint="eastAsia" w:ascii="仿宋_GB2312" w:hAnsi="仿宋_GB2312" w:eastAsia="仿宋_GB2312" w:cs="仿宋_GB2312"/>
          <w:kern w:val="0"/>
          <w:sz w:val="32"/>
          <w:szCs w:val="32"/>
          <w:lang w:val="en-US" w:eastAsia="zh-CN"/>
        </w:rPr>
        <w:t>“铁拳”行动是新形势下发挥综合执法优势、强化市场监管职能、主动破解履职压力风险的积极探索。恪守</w:t>
      </w:r>
      <w:r>
        <w:rPr>
          <w:rFonts w:hint="eastAsia" w:ascii="仿宋_GB2312" w:hAnsi="仿宋_GB2312" w:eastAsia="仿宋_GB2312" w:cs="仿宋_GB2312"/>
          <w:sz w:val="32"/>
          <w:szCs w:val="32"/>
          <w:lang w:val="en-US" w:eastAsia="zh-CN"/>
        </w:rPr>
        <w:t>“铁拳”精神，强化“品牌”意识，把“铁拳”行动作为“我为群众办实事”的“一把手”工程，切实抓紧抓好。</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科室、所要结合实际，聚焦重点，细化措施，明确进度，高效推进。</w:t>
      </w:r>
    </w:p>
    <w:p>
      <w:pPr>
        <w:pStyle w:val="9"/>
        <w:keepNext w:val="0"/>
        <w:keepLines w:val="0"/>
        <w:pageBreakBefore w:val="0"/>
        <w:numPr>
          <w:ilvl w:val="0"/>
          <w:numId w:val="0"/>
        </w:numPr>
        <w:kinsoku/>
        <w:wordWrap/>
        <w:overflowPunct/>
        <w:topLinePunct w:val="0"/>
        <w:bidi w:val="0"/>
        <w:spacing w:line="570" w:lineRule="exact"/>
        <w:ind w:right="0" w:rightChars="0"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（二）责任务必再压实。</w:t>
      </w:r>
      <w:r>
        <w:rPr>
          <w:rFonts w:hint="eastAsia" w:ascii="仿宋_GB2312" w:hAnsi="仿宋_GB2312" w:eastAsia="仿宋_GB2312" w:cs="仿宋_GB2312"/>
          <w:color w:val="000000"/>
          <w:sz w:val="32"/>
          <w:szCs w:val="32"/>
          <w:shd w:val="clear" w:color="auto" w:fill="FFFFFF"/>
          <w:lang w:val="en-US" w:eastAsia="zh-CN"/>
        </w:rPr>
        <w:t>结合每年全国打击侵权假冒工作考核、市场监管督查考核（对质量、食品安全等工作开展的督查考核），推动各科室、所有效参与。</w:t>
      </w:r>
      <w:r>
        <w:rPr>
          <w:rFonts w:hint="eastAsia" w:ascii="仿宋_GB2312" w:hAnsi="仿宋_GB2312" w:eastAsia="仿宋_GB2312" w:cs="仿宋_GB2312"/>
          <w:color w:val="auto"/>
          <w:sz w:val="32"/>
          <w:szCs w:val="32"/>
          <w:shd w:val="clear" w:color="auto" w:fill="FFFFFF"/>
          <w:lang w:val="en-US" w:eastAsia="zh-CN"/>
        </w:rPr>
        <w:t>围绕</w:t>
      </w:r>
      <w:r>
        <w:rPr>
          <w:rFonts w:hint="eastAsia" w:ascii="仿宋_GB2312" w:hAnsi="仿宋_GB2312" w:eastAsia="仿宋_GB2312" w:cs="仿宋_GB2312"/>
          <w:color w:val="auto"/>
          <w:sz w:val="32"/>
          <w:szCs w:val="32"/>
          <w:lang w:val="en-US" w:eastAsia="zh-CN"/>
        </w:rPr>
        <w:t>大案要案件数、</w:t>
      </w:r>
      <w:r>
        <w:rPr>
          <w:rFonts w:hint="eastAsia" w:ascii="仿宋_GB2312" w:hAnsi="仿宋_GB2312" w:eastAsia="仿宋_GB2312" w:cs="仿宋_GB2312"/>
          <w:color w:val="auto"/>
          <w:sz w:val="32"/>
          <w:szCs w:val="32"/>
          <w:shd w:val="clear" w:color="auto" w:fill="FFFFFF"/>
          <w:lang w:val="en-US" w:eastAsia="zh-CN"/>
        </w:rPr>
        <w:t>案件查办</w:t>
      </w:r>
      <w:r>
        <w:rPr>
          <w:rFonts w:hint="eastAsia" w:ascii="仿宋_GB2312" w:hAnsi="仿宋_GB2312" w:eastAsia="仿宋_GB2312" w:cs="仿宋_GB2312"/>
          <w:color w:val="000000"/>
          <w:sz w:val="32"/>
          <w:szCs w:val="32"/>
          <w:shd w:val="clear" w:color="auto" w:fill="FFFFFF"/>
          <w:lang w:val="en-US" w:eastAsia="zh-CN"/>
        </w:rPr>
        <w:t>数量、典型案例被总局、省局、市局公布数量、宣传曝光信息采用情况等，定期对各科室、所“铁拳”行动开展情况进行综合评议。</w:t>
      </w:r>
    </w:p>
    <w:p>
      <w:pPr>
        <w:pStyle w:val="9"/>
        <w:keepNext w:val="0"/>
        <w:keepLines w:val="0"/>
        <w:pageBreakBefore w:val="0"/>
        <w:numPr>
          <w:ilvl w:val="0"/>
          <w:numId w:val="0"/>
        </w:numPr>
        <w:kinsoku/>
        <w:wordWrap/>
        <w:overflowPunct/>
        <w:topLinePunct w:val="0"/>
        <w:bidi w:val="0"/>
        <w:spacing w:line="570" w:lineRule="exact"/>
        <w:ind w:right="0" w:rightChars="0" w:firstLine="643" w:firstLineChars="200"/>
        <w:rPr>
          <w:rFonts w:hint="eastAsia" w:ascii="仿宋_GB2312" w:hAnsi="仿宋_GB2312" w:eastAsia="仿宋_GB2312" w:cs="仿宋_GB2312"/>
          <w:color w:val="auto"/>
          <w:kern w:val="0"/>
          <w:sz w:val="32"/>
          <w:szCs w:val="32"/>
          <w:lang w:val="en-US" w:eastAsia="zh-CN"/>
        </w:rPr>
      </w:pPr>
      <w:r>
        <w:rPr>
          <w:rFonts w:hint="eastAsia" w:ascii="楷体" w:hAnsi="楷体" w:eastAsia="楷体" w:cs="楷体"/>
          <w:b/>
          <w:bCs/>
          <w:kern w:val="2"/>
          <w:sz w:val="32"/>
          <w:szCs w:val="32"/>
          <w:lang w:val="en-US" w:eastAsia="zh-CN" w:bidi="ar-SA"/>
        </w:rPr>
        <w:t>（三）保障务必再加强。</w:t>
      </w:r>
      <w:r>
        <w:rPr>
          <w:rFonts w:hint="eastAsia" w:ascii="仿宋_GB2312" w:hAnsi="仿宋_GB2312" w:eastAsia="仿宋_GB2312" w:cs="仿宋_GB2312"/>
          <w:color w:val="auto"/>
          <w:kern w:val="0"/>
          <w:sz w:val="32"/>
          <w:szCs w:val="32"/>
          <w:lang w:val="en-US" w:eastAsia="zh-CN"/>
        </w:rPr>
        <w:t>贯彻落实《关于市场监管基层执法装备配备的指导意见》，强化市场监管执法保障。发挥市场监管领域行政执法人才库和专家库“领头雁”作用，及时破解难点热点问题，在执法实践中锤炼队伍，提高执法人员办案技能。</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每月29日前报送当月典型案例目录（附件4）、典型案件信息表（附件5）、重点案件查办情况表（附件6），有重大影响的案件及需要上级协调办理的案件线索可随时报送；按季度报送宣传工作开展情况表（附件7），6</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28</w:t>
      </w:r>
      <w:r>
        <w:rPr>
          <w:rFonts w:hint="eastAsia" w:ascii="仿宋_GB2312" w:hAnsi="仿宋_GB2312" w:eastAsia="仿宋_GB2312" w:cs="仿宋_GB2312"/>
          <w:b/>
          <w:bCs/>
          <w:sz w:val="32"/>
          <w:szCs w:val="32"/>
        </w:rPr>
        <w:t>日、</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sz w:val="32"/>
          <w:szCs w:val="32"/>
          <w:lang w:eastAsia="zh-CN"/>
        </w:rPr>
        <w:t>日</w:t>
      </w:r>
      <w:r>
        <w:rPr>
          <w:rFonts w:hint="eastAsia" w:ascii="仿宋_GB2312" w:hAnsi="仿宋_GB2312" w:eastAsia="仿宋_GB2312" w:cs="仿宋_GB2312"/>
          <w:b/>
          <w:bCs/>
          <w:sz w:val="32"/>
          <w:szCs w:val="32"/>
        </w:rPr>
        <w:t>前，分别报送</w:t>
      </w:r>
      <w:r>
        <w:rPr>
          <w:rFonts w:hint="eastAsia" w:ascii="仿宋_GB2312" w:hAnsi="仿宋_GB2312" w:eastAsia="仿宋_GB2312" w:cs="仿宋_GB2312"/>
          <w:b/>
          <w:bCs/>
          <w:sz w:val="32"/>
          <w:szCs w:val="32"/>
          <w:lang w:eastAsia="zh-CN"/>
        </w:rPr>
        <w:t>半年</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rPr>
        <w:t>三季度</w:t>
      </w:r>
      <w:r>
        <w:rPr>
          <w:rFonts w:hint="eastAsia" w:ascii="仿宋_GB2312" w:hAnsi="仿宋_GB2312" w:eastAsia="仿宋_GB2312" w:cs="仿宋_GB2312"/>
          <w:b/>
          <w:bCs/>
          <w:sz w:val="32"/>
          <w:szCs w:val="32"/>
          <w:lang w:eastAsia="zh-CN"/>
        </w:rPr>
        <w:t>案件查办和宣传</w:t>
      </w:r>
      <w:r>
        <w:rPr>
          <w:rFonts w:hint="eastAsia" w:ascii="仿宋_GB2312" w:hAnsi="仿宋_GB2312" w:eastAsia="仿宋_GB2312" w:cs="仿宋_GB2312"/>
          <w:b/>
          <w:bCs/>
          <w:sz w:val="32"/>
          <w:szCs w:val="32"/>
        </w:rPr>
        <w:t>工作开展情况</w:t>
      </w:r>
      <w:r>
        <w:rPr>
          <w:rFonts w:hint="eastAsia" w:ascii="仿宋_GB2312" w:hAnsi="仿宋_GB2312" w:eastAsia="仿宋_GB2312" w:cs="仿宋_GB2312"/>
          <w:b/>
          <w:bCs/>
          <w:sz w:val="32"/>
          <w:szCs w:val="32"/>
          <w:lang w:eastAsia="zh-CN"/>
        </w:rPr>
        <w:t>总结</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日</w:t>
      </w:r>
      <w:r>
        <w:rPr>
          <w:rFonts w:hint="eastAsia" w:ascii="仿宋_GB2312" w:hAnsi="仿宋_GB2312" w:eastAsia="仿宋_GB2312" w:cs="仿宋_GB2312"/>
          <w:b/>
          <w:bCs/>
          <w:sz w:val="32"/>
          <w:szCs w:val="32"/>
        </w:rPr>
        <w:t>前，报送202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年工作总结报告，总结有效做法和成功经验，提出202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eastAsia="zh-CN"/>
        </w:rPr>
        <w:t>重点</w:t>
      </w:r>
      <w:r>
        <w:rPr>
          <w:rFonts w:hint="eastAsia" w:ascii="仿宋_GB2312" w:hAnsi="仿宋_GB2312" w:eastAsia="仿宋_GB2312" w:cs="仿宋_GB2312"/>
          <w:b/>
          <w:bCs/>
          <w:sz w:val="32"/>
          <w:szCs w:val="32"/>
        </w:rPr>
        <w:t>案件</w:t>
      </w:r>
      <w:r>
        <w:rPr>
          <w:rFonts w:hint="eastAsia" w:ascii="仿宋_GB2312" w:hAnsi="仿宋_GB2312" w:eastAsia="仿宋_GB2312" w:cs="仿宋_GB2312"/>
          <w:b/>
          <w:bCs/>
          <w:sz w:val="32"/>
          <w:szCs w:val="32"/>
          <w:lang w:eastAsia="zh-CN"/>
        </w:rPr>
        <w:t>查办建议</w:t>
      </w:r>
      <w:r>
        <w:rPr>
          <w:rFonts w:hint="eastAsia" w:ascii="仿宋_GB2312" w:hAnsi="仿宋_GB2312" w:eastAsia="仿宋_GB2312" w:cs="仿宋_GB2312"/>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李秋润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 xml:space="preserve">869016 </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t>gxqxzspjfzk@163.com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1.枣庄高新区行政审批</w:t>
      </w:r>
      <w:r>
        <w:rPr>
          <w:rFonts w:hint="eastAsia" w:ascii="仿宋_GB2312" w:hAnsi="仿宋_GB2312" w:eastAsia="仿宋_GB2312" w:cs="仿宋_GB2312"/>
          <w:sz w:val="32"/>
          <w:szCs w:val="32"/>
        </w:rPr>
        <w:t>局2022民生领域案件查办“铁拳”行动领导小组及职责</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2022民生领域案件查办“铁拳”行动业务指导专家及联系人制度</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3.2022民生领域案件查办“铁拳”行动宣传工作方案</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4.2022民生领域案件查办“铁拳”行动典型案件报送目录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5.典型案件报送信息表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6.2022民生领域案件查办“铁拳”行动重点案件查办情况表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7.2022民生领域案件查办“铁拳”行动宣传工作开展情况表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8.2022民生领域案件查办“铁拳”行动重点违法行为查处方案</w:t>
      </w:r>
    </w:p>
    <w:p>
      <w:pPr>
        <w:keepNext w:val="0"/>
        <w:keepLines w:val="0"/>
        <w:pageBreakBefore w:val="0"/>
        <w:kinsoku/>
        <w:wordWrap/>
        <w:overflowPunct/>
        <w:topLinePunct w:val="0"/>
        <w:bidi w:val="0"/>
        <w:spacing w:line="570" w:lineRule="exact"/>
        <w:ind w:right="0" w:right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70" w:lineRule="exact"/>
        <w:ind w:right="0" w:right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70" w:lineRule="exact"/>
        <w:ind w:right="0" w:right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70" w:lineRule="exact"/>
        <w:ind w:right="0" w:right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70" w:lineRule="exact"/>
        <w:ind w:right="0" w:right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70" w:lineRule="exact"/>
        <w:ind w:right="0" w:right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70" w:lineRule="exact"/>
        <w:ind w:right="0" w:right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70" w:lineRule="exact"/>
        <w:ind w:right="0" w:right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70" w:lineRule="exact"/>
        <w:ind w:right="0" w:right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70" w:lineRule="exact"/>
        <w:ind w:right="0" w:right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70" w:lineRule="exact"/>
        <w:ind w:right="0" w:right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70" w:lineRule="exact"/>
        <w:ind w:right="0" w:right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70" w:lineRule="exact"/>
        <w:ind w:right="0" w:right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70" w:lineRule="exact"/>
        <w:ind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枣庄高新区行政审批</w:t>
      </w:r>
      <w:r>
        <w:rPr>
          <w:rFonts w:hint="eastAsia" w:ascii="方正小标宋简体" w:hAnsi="方正小标宋简体" w:eastAsia="方正小标宋简体" w:cs="方正小标宋简体"/>
          <w:b/>
          <w:bCs/>
          <w:sz w:val="44"/>
          <w:szCs w:val="44"/>
        </w:rPr>
        <w:t>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2</w:t>
      </w:r>
      <w:r>
        <w:rPr>
          <w:rFonts w:hint="eastAsia" w:ascii="方正小标宋简体" w:hAnsi="方正小标宋简体" w:eastAsia="方正小标宋简体" w:cs="方正小标宋简体"/>
          <w:b/>
          <w:bCs/>
          <w:sz w:val="44"/>
          <w:szCs w:val="44"/>
        </w:rPr>
        <w:t>民生领域案件查办“铁拳”行动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bCs/>
          <w:sz w:val="44"/>
          <w:szCs w:val="44"/>
        </w:rPr>
        <w:t>领导</w:t>
      </w:r>
      <w:r>
        <w:rPr>
          <w:rFonts w:hint="eastAsia" w:ascii="方正小标宋简体" w:hAnsi="方正小标宋简体" w:eastAsia="方正小标宋简体" w:cs="方正小标宋简体"/>
          <w:b/>
          <w:bCs/>
          <w:sz w:val="44"/>
          <w:szCs w:val="44"/>
          <w:lang w:val="en-US" w:eastAsia="zh-CN"/>
        </w:rPr>
        <w:t>小组</w:t>
      </w:r>
      <w:r>
        <w:rPr>
          <w:rFonts w:hint="eastAsia" w:ascii="方正小标宋简体" w:hAnsi="方正小标宋简体" w:eastAsia="方正小标宋简体" w:cs="方正小标宋简体"/>
          <w:b/>
          <w:bCs/>
          <w:sz w:val="44"/>
          <w:szCs w:val="44"/>
          <w:lang w:eastAsia="zh-CN"/>
        </w:rPr>
        <w:t>及职责</w:t>
      </w:r>
    </w:p>
    <w:p>
      <w:pPr>
        <w:keepNext w:val="0"/>
        <w:keepLines w:val="0"/>
        <w:pageBreakBefore w:val="0"/>
        <w:widowControl w:val="0"/>
        <w:kinsoku/>
        <w:wordWrap/>
        <w:overflowPunct/>
        <w:topLinePunct w:val="0"/>
        <w:autoSpaceDE/>
        <w:autoSpaceDN/>
        <w:bidi w:val="0"/>
        <w:spacing w:line="55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一、高新区局“铁拳”行动领导小组组长由高新区行政审批局主要领导担任，</w:t>
      </w: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局分管领导担任，领导小组成员由办公室、监督管理科、质监科、食药科、</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制</w:t>
      </w:r>
      <w:r>
        <w:rPr>
          <w:rFonts w:hint="eastAsia" w:ascii="仿宋_GB2312" w:hAnsi="仿宋_GB2312" w:eastAsia="仿宋_GB2312" w:cs="仿宋_GB2312"/>
          <w:sz w:val="32"/>
          <w:szCs w:val="32"/>
          <w:lang w:eastAsia="zh-CN"/>
        </w:rPr>
        <w:t>科等</w:t>
      </w:r>
      <w:r>
        <w:rPr>
          <w:rFonts w:hint="eastAsia" w:ascii="仿宋_GB2312" w:hAnsi="仿宋_GB2312" w:eastAsia="仿宋_GB2312" w:cs="仿宋_GB2312"/>
          <w:sz w:val="32"/>
          <w:szCs w:val="32"/>
          <w:lang w:val="en-US" w:eastAsia="zh-CN"/>
        </w:rPr>
        <w:t>科室主要负责人担任。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lang w:val="en-US" w:eastAsia="zh-CN"/>
        </w:rPr>
        <w:t>成员单位负责研判本业务领域社会关注热点和突出问题，摸排违法线索。负责案件查办工作业务指导，会商研究重大疑难问题，做好相关督导督办等工作。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领导小组办公室设在</w:t>
      </w:r>
      <w:r>
        <w:rPr>
          <w:rFonts w:hint="eastAsia" w:ascii="仿宋_GB2312" w:hAnsi="仿宋_GB2312" w:eastAsia="仿宋_GB2312" w:cs="仿宋_GB2312"/>
          <w:sz w:val="32"/>
          <w:szCs w:val="32"/>
          <w:lang w:val="en-US" w:eastAsia="zh-CN"/>
        </w:rPr>
        <w:t>法制科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负责“铁拳”行动文件起草、组织协调工作，推动各科室、所开展实施“铁拳”行动。负责案件查办信息数据的收集、统计、报送，以及典型案例的审核发布工作，组织开展系列宣传活动。</w:t>
      </w:r>
    </w:p>
    <w:p>
      <w:pPr>
        <w:pStyle w:val="9"/>
        <w:keepNext w:val="0"/>
        <w:keepLines w:val="0"/>
        <w:pageBreakBefore w:val="0"/>
        <w:widowControl w:val="0"/>
        <w:numPr>
          <w:ilvl w:val="0"/>
          <w:numId w:val="0"/>
        </w:numPr>
        <w:kinsoku/>
        <w:wordWrap/>
        <w:overflowPunct/>
        <w:topLinePunct w:val="0"/>
        <w:autoSpaceDE/>
        <w:autoSpaceDN/>
        <w:bidi w:val="0"/>
        <w:spacing w:line="53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spacing w:line="53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spacing w:line="53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spacing w:line="53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spacing w:line="53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spacing w:line="53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2022民生领域案件查办“铁拳”行动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业务指导专家及联系人制度</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民生领域案件查办“铁拳”行动部署要求，</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en-US" w:eastAsia="zh-CN"/>
        </w:rPr>
        <w:t>高新区</w:t>
      </w:r>
      <w:r>
        <w:rPr>
          <w:rFonts w:hint="eastAsia" w:ascii="仿宋_GB2312" w:hAnsi="仿宋_GB2312" w:eastAsia="仿宋_GB2312" w:cs="仿宋_GB2312"/>
          <w:sz w:val="32"/>
          <w:szCs w:val="32"/>
        </w:rPr>
        <w:t>民生领域案件查办工作，决定建立“铁拳”行动业务指导专家及联系人制度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一、</w:t>
      </w:r>
      <w:r>
        <w:rPr>
          <w:rFonts w:hint="eastAsia" w:ascii="黑体" w:hAnsi="黑体" w:eastAsia="黑体" w:cs="黑体"/>
          <w:b/>
          <w:bCs/>
          <w:sz w:val="32"/>
          <w:szCs w:val="32"/>
          <w:lang w:val="en-US" w:eastAsia="zh-CN"/>
        </w:rPr>
        <w:t>高新区行政审批</w:t>
      </w:r>
      <w:r>
        <w:rPr>
          <w:rFonts w:hint="eastAsia" w:ascii="黑体" w:hAnsi="黑体" w:eastAsia="黑体" w:cs="黑体"/>
          <w:b/>
          <w:bCs/>
          <w:sz w:val="32"/>
          <w:szCs w:val="32"/>
          <w:lang w:eastAsia="zh-CN"/>
        </w:rPr>
        <w:t>局</w:t>
      </w:r>
      <w:r>
        <w:rPr>
          <w:rFonts w:hint="eastAsia" w:ascii="黑体" w:hAnsi="黑体" w:eastAsia="黑体" w:cs="黑体"/>
          <w:b/>
          <w:bCs/>
          <w:sz w:val="32"/>
          <w:szCs w:val="32"/>
        </w:rPr>
        <w:t>“铁拳”行动业务指导专家主要任务</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立足本</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职责，加强对本领域案件查办的协调指导；参加研讨会议，研判重点领域重要案件线索，会商解决执法办案中疑难复杂问题；根据需要，参加督查督导、案</w:t>
      </w:r>
      <w:r>
        <w:rPr>
          <w:rFonts w:hint="eastAsia" w:ascii="仿宋_GB2312" w:hAnsi="仿宋_GB2312" w:eastAsia="仿宋_GB2312" w:cs="仿宋_GB2312"/>
          <w:sz w:val="32"/>
          <w:szCs w:val="32"/>
          <w:lang w:val="en-US" w:eastAsia="zh-CN"/>
        </w:rPr>
        <w:t>件审核</w:t>
      </w:r>
      <w:r>
        <w:rPr>
          <w:rFonts w:hint="eastAsia" w:ascii="仿宋_GB2312" w:hAnsi="仿宋_GB2312" w:eastAsia="仿宋_GB2312" w:cs="仿宋_GB2312"/>
          <w:sz w:val="32"/>
          <w:szCs w:val="32"/>
        </w:rPr>
        <w:t>、实地调研等活动。</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二、高新区行政审批局“铁拳”行动联系人主要任务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严格按照报送格式、标准、时限等要求，做好每月</w:t>
      </w:r>
      <w:r>
        <w:rPr>
          <w:rFonts w:hint="eastAsia" w:ascii="仿宋_GB2312" w:hAnsi="仿宋_GB2312" w:eastAsia="仿宋_GB2312" w:cs="仿宋_GB2312"/>
          <w:sz w:val="32"/>
          <w:szCs w:val="32"/>
          <w:lang w:eastAsia="zh-CN"/>
        </w:rPr>
        <w:t>调度归集、统计上报本区域“铁拳”行动典型案例、执法数据、</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信息等工作</w:t>
      </w:r>
      <w:r>
        <w:rPr>
          <w:rFonts w:hint="eastAsia" w:ascii="仿宋_GB2312" w:hAnsi="仿宋_GB2312" w:eastAsia="仿宋_GB2312" w:cs="仿宋_GB2312"/>
          <w:sz w:val="32"/>
          <w:szCs w:val="32"/>
        </w:rPr>
        <w:t>。</w:t>
      </w:r>
    </w:p>
    <w:p>
      <w:pPr>
        <w:pStyle w:val="3"/>
        <w:rPr>
          <w:rFonts w:hint="eastAsia" w:ascii="仿宋_GB2312" w:hAnsi="仿宋_GB2312" w:eastAsia="仿宋_GB2312" w:cs="仿宋_GB2312"/>
          <w:sz w:val="32"/>
          <w:szCs w:val="32"/>
          <w:lang w:eastAsia="zh-CN"/>
        </w:rPr>
        <w:sectPr>
          <w:footerReference r:id="rId4" w:type="default"/>
          <w:pgSz w:w="11906" w:h="16838"/>
          <w:pgMar w:top="2098" w:right="1531" w:bottom="1984" w:left="1531" w:header="851" w:footer="1417" w:gutter="0"/>
          <w:pgNumType w:fmt="decimal" w:start="3"/>
          <w:cols w:space="720" w:num="1"/>
          <w:rtlGutter w:val="0"/>
          <w:docGrid w:type="lines" w:linePitch="318" w:charSpace="0"/>
        </w:sectPr>
      </w:pPr>
    </w:p>
    <w:p>
      <w:pPr>
        <w:keepNext w:val="0"/>
        <w:keepLines w:val="0"/>
        <w:pageBreakBefore w:val="0"/>
        <w:kinsoku/>
        <w:wordWrap/>
        <w:overflowPunct/>
        <w:topLinePunct w:val="0"/>
        <w:bidi w:val="0"/>
        <w:spacing w:line="570" w:lineRule="exact"/>
        <w:ind w:right="0" w:rightChars="0"/>
        <w:jc w:val="center"/>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pacing w:line="570" w:lineRule="exact"/>
        <w:ind w:right="0" w:rightChars="0"/>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枣庄高新区行政审批</w:t>
      </w:r>
      <w:r>
        <w:rPr>
          <w:rFonts w:hint="eastAsia" w:ascii="黑体" w:hAnsi="黑体" w:eastAsia="黑体" w:cs="黑体"/>
          <w:b/>
          <w:bCs/>
          <w:sz w:val="32"/>
          <w:szCs w:val="32"/>
        </w:rPr>
        <w:t>局“铁拳”行动业务指导专家名单</w:t>
      </w:r>
    </w:p>
    <w:tbl>
      <w:tblPr>
        <w:tblStyle w:val="7"/>
        <w:tblpPr w:leftFromText="180" w:rightFromText="180" w:vertAnchor="text" w:horzAnchor="page" w:tblpX="1404" w:tblpY="525"/>
        <w:tblOverlap w:val="never"/>
        <w:tblW w:w="9127" w:type="dxa"/>
        <w:jc w:val="center"/>
        <w:tblLayout w:type="fixed"/>
        <w:tblCellMar>
          <w:top w:w="0" w:type="dxa"/>
          <w:left w:w="108" w:type="dxa"/>
          <w:bottom w:w="0" w:type="dxa"/>
          <w:right w:w="108" w:type="dxa"/>
        </w:tblCellMar>
      </w:tblPr>
      <w:tblGrid>
        <w:gridCol w:w="2663"/>
        <w:gridCol w:w="2430"/>
        <w:gridCol w:w="2160"/>
        <w:gridCol w:w="1874"/>
      </w:tblGrid>
      <w:tr>
        <w:tblPrEx>
          <w:tblCellMar>
            <w:top w:w="0" w:type="dxa"/>
            <w:left w:w="108" w:type="dxa"/>
            <w:bottom w:w="0" w:type="dxa"/>
            <w:right w:w="108" w:type="dxa"/>
          </w:tblCellMar>
        </w:tblPrEx>
        <w:trPr>
          <w:cantSplit/>
          <w:trHeight w:val="660"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科室</w:t>
            </w:r>
          </w:p>
        </w:tc>
        <w:tc>
          <w:tcPr>
            <w:tcW w:w="24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业务指导专家</w:t>
            </w:r>
          </w:p>
        </w:tc>
        <w:tc>
          <w:tcPr>
            <w:tcW w:w="21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职务</w:t>
            </w:r>
          </w:p>
        </w:tc>
        <w:tc>
          <w:tcPr>
            <w:tcW w:w="18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联系方式</w:t>
            </w:r>
          </w:p>
        </w:tc>
      </w:tr>
      <w:tr>
        <w:tblPrEx>
          <w:tblCellMar>
            <w:top w:w="0" w:type="dxa"/>
            <w:left w:w="108" w:type="dxa"/>
            <w:bottom w:w="0" w:type="dxa"/>
            <w:right w:w="108" w:type="dxa"/>
          </w:tblCellMar>
        </w:tblPrEx>
        <w:trPr>
          <w:cantSplit/>
          <w:trHeight w:val="737" w:hRule="atLeast"/>
          <w:jc w:val="center"/>
        </w:trPr>
        <w:tc>
          <w:tcPr>
            <w:tcW w:w="266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监督管理科</w:t>
            </w:r>
          </w:p>
        </w:tc>
        <w:tc>
          <w:tcPr>
            <w:tcW w:w="2430"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张  杰</w:t>
            </w:r>
          </w:p>
        </w:tc>
        <w:tc>
          <w:tcPr>
            <w:tcW w:w="2160"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资深主管</w:t>
            </w:r>
          </w:p>
        </w:tc>
        <w:tc>
          <w:tcPr>
            <w:tcW w:w="1874"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8691025</w:t>
            </w:r>
          </w:p>
        </w:tc>
      </w:tr>
      <w:tr>
        <w:tblPrEx>
          <w:tblCellMar>
            <w:top w:w="0" w:type="dxa"/>
            <w:left w:w="108" w:type="dxa"/>
            <w:bottom w:w="0" w:type="dxa"/>
            <w:right w:w="108" w:type="dxa"/>
          </w:tblCellMar>
        </w:tblPrEx>
        <w:trPr>
          <w:cantSplit/>
          <w:trHeight w:val="737" w:hRule="atLeast"/>
          <w:jc w:val="center"/>
        </w:trPr>
        <w:tc>
          <w:tcPr>
            <w:tcW w:w="266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质监</w:t>
            </w:r>
            <w:r>
              <w:rPr>
                <w:rFonts w:hint="eastAsia" w:ascii="仿宋_GB2312" w:hAnsi="仿宋_GB2312" w:eastAsia="仿宋_GB2312" w:cs="仿宋_GB2312"/>
                <w:color w:val="000000"/>
                <w:kern w:val="0"/>
                <w:sz w:val="32"/>
                <w:szCs w:val="32"/>
                <w:lang w:eastAsia="zh-CN"/>
              </w:rPr>
              <w:t>科</w:t>
            </w:r>
          </w:p>
        </w:tc>
        <w:tc>
          <w:tcPr>
            <w:tcW w:w="2430"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沈建军</w:t>
            </w:r>
          </w:p>
        </w:tc>
        <w:tc>
          <w:tcPr>
            <w:tcW w:w="2160"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副局长</w:t>
            </w:r>
          </w:p>
        </w:tc>
        <w:tc>
          <w:tcPr>
            <w:tcW w:w="1874"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8690178</w:t>
            </w:r>
          </w:p>
        </w:tc>
      </w:tr>
      <w:tr>
        <w:tblPrEx>
          <w:tblCellMar>
            <w:top w:w="0" w:type="dxa"/>
            <w:left w:w="108" w:type="dxa"/>
            <w:bottom w:w="0" w:type="dxa"/>
            <w:right w:w="108" w:type="dxa"/>
          </w:tblCellMar>
        </w:tblPrEx>
        <w:trPr>
          <w:cantSplit/>
          <w:trHeight w:val="737" w:hRule="atLeast"/>
          <w:jc w:val="center"/>
        </w:trPr>
        <w:tc>
          <w:tcPr>
            <w:tcW w:w="266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食药</w:t>
            </w:r>
            <w:r>
              <w:rPr>
                <w:rFonts w:hint="eastAsia" w:ascii="仿宋_GB2312" w:hAnsi="仿宋_GB2312" w:eastAsia="仿宋_GB2312" w:cs="仿宋_GB2312"/>
                <w:color w:val="000000"/>
                <w:kern w:val="0"/>
                <w:sz w:val="32"/>
                <w:szCs w:val="32"/>
                <w:lang w:eastAsia="zh-CN"/>
              </w:rPr>
              <w:t>科</w:t>
            </w:r>
          </w:p>
        </w:tc>
        <w:tc>
          <w:tcPr>
            <w:tcW w:w="2430"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许圣国</w:t>
            </w:r>
          </w:p>
        </w:tc>
        <w:tc>
          <w:tcPr>
            <w:tcW w:w="2160"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副局长</w:t>
            </w:r>
          </w:p>
        </w:tc>
        <w:tc>
          <w:tcPr>
            <w:tcW w:w="1874"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8690178</w:t>
            </w:r>
          </w:p>
        </w:tc>
      </w:tr>
      <w:tr>
        <w:tblPrEx>
          <w:tblCellMar>
            <w:top w:w="0" w:type="dxa"/>
            <w:left w:w="108" w:type="dxa"/>
            <w:bottom w:w="0" w:type="dxa"/>
            <w:right w:w="108" w:type="dxa"/>
          </w:tblCellMar>
        </w:tblPrEx>
        <w:trPr>
          <w:cantSplit/>
          <w:trHeight w:val="737" w:hRule="atLeast"/>
          <w:jc w:val="center"/>
        </w:trPr>
        <w:tc>
          <w:tcPr>
            <w:tcW w:w="266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法制</w:t>
            </w:r>
            <w:r>
              <w:rPr>
                <w:rFonts w:hint="eastAsia" w:ascii="仿宋_GB2312" w:hAnsi="仿宋_GB2312" w:eastAsia="仿宋_GB2312" w:cs="仿宋_GB2312"/>
                <w:color w:val="000000"/>
                <w:kern w:val="0"/>
                <w:sz w:val="32"/>
                <w:szCs w:val="32"/>
                <w:lang w:eastAsia="zh-CN"/>
              </w:rPr>
              <w:t>科</w:t>
            </w:r>
          </w:p>
        </w:tc>
        <w:tc>
          <w:tcPr>
            <w:tcW w:w="2430"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潘  伟</w:t>
            </w:r>
          </w:p>
        </w:tc>
        <w:tc>
          <w:tcPr>
            <w:tcW w:w="21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高级主管</w:t>
            </w:r>
          </w:p>
        </w:tc>
        <w:tc>
          <w:tcPr>
            <w:tcW w:w="1874"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8690168</w:t>
            </w:r>
          </w:p>
        </w:tc>
      </w:tr>
    </w:tbl>
    <w:p>
      <w:pPr>
        <w:keepNext w:val="0"/>
        <w:keepLines w:val="0"/>
        <w:pageBreakBefore w:val="0"/>
        <w:kinsoku/>
        <w:wordWrap/>
        <w:overflowPunct/>
        <w:topLinePunct w:val="0"/>
        <w:bidi w:val="0"/>
        <w:spacing w:line="570" w:lineRule="exact"/>
        <w:ind w:right="0" w:rightChars="0"/>
        <w:jc w:val="both"/>
        <w:rPr>
          <w:rFonts w:hint="eastAsia" w:ascii="仿宋_GB2312" w:hAnsi="仿宋_GB2312" w:eastAsia="仿宋_GB2312" w:cs="仿宋_GB2312"/>
          <w:sz w:val="32"/>
          <w:szCs w:val="32"/>
          <w:lang w:eastAsia="zh-CN"/>
        </w:rPr>
      </w:pPr>
    </w:p>
    <w:p>
      <w:pPr>
        <w:pStyle w:val="3"/>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spacing w:line="570" w:lineRule="exact"/>
        <w:ind w:right="0" w:rightChars="0"/>
        <w:jc w:val="center"/>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spacing w:line="570" w:lineRule="exact"/>
        <w:ind w:right="0" w:right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枣庄高新区行政审批局“铁拳”行动联系人名单</w:t>
      </w:r>
    </w:p>
    <w:p>
      <w:pPr>
        <w:pStyle w:val="3"/>
        <w:jc w:val="center"/>
        <w:rPr>
          <w:rFonts w:hint="eastAsia" w:ascii="仿宋_GB2312" w:hAnsi="仿宋_GB2312" w:eastAsia="仿宋_GB2312" w:cs="仿宋_GB2312"/>
          <w:sz w:val="32"/>
          <w:szCs w:val="32"/>
        </w:rPr>
      </w:pPr>
    </w:p>
    <w:tbl>
      <w:tblPr>
        <w:tblStyle w:val="7"/>
        <w:tblpPr w:leftFromText="180" w:rightFromText="180" w:vertAnchor="text" w:tblpXSpec="center" w:tblpY="1"/>
        <w:tblOverlap w:val="never"/>
        <w:tblW w:w="9127" w:type="dxa"/>
        <w:tblInd w:w="0" w:type="dxa"/>
        <w:tblLayout w:type="fixed"/>
        <w:tblCellMar>
          <w:top w:w="0" w:type="dxa"/>
          <w:left w:w="108" w:type="dxa"/>
          <w:bottom w:w="0" w:type="dxa"/>
          <w:right w:w="108" w:type="dxa"/>
        </w:tblCellMar>
      </w:tblPr>
      <w:tblGrid>
        <w:gridCol w:w="2583"/>
        <w:gridCol w:w="2430"/>
        <w:gridCol w:w="2145"/>
        <w:gridCol w:w="1969"/>
      </w:tblGrid>
      <w:tr>
        <w:tblPrEx>
          <w:tblCellMar>
            <w:top w:w="0" w:type="dxa"/>
            <w:left w:w="108" w:type="dxa"/>
            <w:bottom w:w="0" w:type="dxa"/>
            <w:right w:w="108" w:type="dxa"/>
          </w:tblCellMar>
        </w:tblPrEx>
        <w:trPr>
          <w:cantSplit/>
          <w:trHeight w:val="680" w:hRule="exact"/>
        </w:trPr>
        <w:tc>
          <w:tcPr>
            <w:tcW w:w="2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科室</w:t>
            </w:r>
            <w:r>
              <w:rPr>
                <w:rFonts w:hint="eastAsia" w:ascii="仿宋_GB2312" w:hAnsi="仿宋_GB2312" w:eastAsia="仿宋_GB2312" w:cs="仿宋_GB2312"/>
                <w:color w:val="000000"/>
                <w:kern w:val="0"/>
                <w:sz w:val="32"/>
                <w:szCs w:val="32"/>
              </w:rPr>
              <w:t>、单位</w:t>
            </w:r>
          </w:p>
        </w:tc>
        <w:tc>
          <w:tcPr>
            <w:tcW w:w="24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联系人</w:t>
            </w:r>
          </w:p>
        </w:tc>
        <w:tc>
          <w:tcPr>
            <w:tcW w:w="21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职务</w:t>
            </w:r>
          </w:p>
        </w:tc>
        <w:tc>
          <w:tcPr>
            <w:tcW w:w="19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联系方式</w:t>
            </w:r>
          </w:p>
        </w:tc>
      </w:tr>
      <w:tr>
        <w:tblPrEx>
          <w:tblCellMar>
            <w:top w:w="0" w:type="dxa"/>
            <w:left w:w="108" w:type="dxa"/>
            <w:bottom w:w="0" w:type="dxa"/>
            <w:right w:w="108" w:type="dxa"/>
          </w:tblCellMar>
        </w:tblPrEx>
        <w:trPr>
          <w:cantSplit/>
          <w:trHeight w:val="680" w:hRule="exact"/>
        </w:trPr>
        <w:tc>
          <w:tcPr>
            <w:tcW w:w="25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监督管理科</w:t>
            </w:r>
          </w:p>
        </w:tc>
        <w:tc>
          <w:tcPr>
            <w:tcW w:w="2430"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val="en-US" w:eastAsia="zh-CN"/>
              </w:rPr>
              <w:t>胡  斌</w:t>
            </w:r>
          </w:p>
        </w:tc>
        <w:tc>
          <w:tcPr>
            <w:tcW w:w="214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科长</w:t>
            </w:r>
          </w:p>
        </w:tc>
        <w:tc>
          <w:tcPr>
            <w:tcW w:w="1969"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8691315</w:t>
            </w:r>
          </w:p>
        </w:tc>
      </w:tr>
      <w:tr>
        <w:tblPrEx>
          <w:tblCellMar>
            <w:top w:w="0" w:type="dxa"/>
            <w:left w:w="108" w:type="dxa"/>
            <w:bottom w:w="0" w:type="dxa"/>
            <w:right w:w="108" w:type="dxa"/>
          </w:tblCellMar>
        </w:tblPrEx>
        <w:trPr>
          <w:cantSplit/>
          <w:trHeight w:val="680" w:hRule="exact"/>
        </w:trPr>
        <w:tc>
          <w:tcPr>
            <w:tcW w:w="25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质监</w:t>
            </w:r>
            <w:r>
              <w:rPr>
                <w:rFonts w:hint="eastAsia" w:ascii="仿宋_GB2312" w:hAnsi="仿宋_GB2312" w:eastAsia="仿宋_GB2312" w:cs="仿宋_GB2312"/>
                <w:color w:val="000000"/>
                <w:kern w:val="0"/>
                <w:sz w:val="32"/>
                <w:szCs w:val="32"/>
                <w:lang w:eastAsia="zh-CN"/>
              </w:rPr>
              <w:t>科</w:t>
            </w:r>
          </w:p>
        </w:tc>
        <w:tc>
          <w:tcPr>
            <w:tcW w:w="2430"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胡军玲</w:t>
            </w:r>
          </w:p>
        </w:tc>
        <w:tc>
          <w:tcPr>
            <w:tcW w:w="214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科长</w:t>
            </w:r>
          </w:p>
        </w:tc>
        <w:tc>
          <w:tcPr>
            <w:tcW w:w="1969"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8682365</w:t>
            </w:r>
          </w:p>
        </w:tc>
      </w:tr>
      <w:tr>
        <w:tblPrEx>
          <w:tblCellMar>
            <w:top w:w="0" w:type="dxa"/>
            <w:left w:w="108" w:type="dxa"/>
            <w:bottom w:w="0" w:type="dxa"/>
            <w:right w:w="108" w:type="dxa"/>
          </w:tblCellMar>
        </w:tblPrEx>
        <w:trPr>
          <w:cantSplit/>
          <w:trHeight w:val="680" w:hRule="exact"/>
        </w:trPr>
        <w:tc>
          <w:tcPr>
            <w:tcW w:w="25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食药</w:t>
            </w:r>
            <w:r>
              <w:rPr>
                <w:rFonts w:hint="eastAsia" w:ascii="仿宋_GB2312" w:hAnsi="仿宋_GB2312" w:eastAsia="仿宋_GB2312" w:cs="仿宋_GB2312"/>
                <w:color w:val="000000"/>
                <w:kern w:val="0"/>
                <w:sz w:val="32"/>
                <w:szCs w:val="32"/>
                <w:lang w:eastAsia="zh-CN"/>
              </w:rPr>
              <w:t>科</w:t>
            </w:r>
          </w:p>
        </w:tc>
        <w:tc>
          <w:tcPr>
            <w:tcW w:w="2430"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lang w:val="en-US" w:eastAsia="zh-CN"/>
              </w:rPr>
              <w:t>褚治廷</w:t>
            </w:r>
          </w:p>
        </w:tc>
        <w:tc>
          <w:tcPr>
            <w:tcW w:w="214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科长</w:t>
            </w:r>
          </w:p>
        </w:tc>
        <w:tc>
          <w:tcPr>
            <w:tcW w:w="1969"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8699315</w:t>
            </w:r>
          </w:p>
        </w:tc>
      </w:tr>
      <w:tr>
        <w:tblPrEx>
          <w:tblCellMar>
            <w:top w:w="0" w:type="dxa"/>
            <w:left w:w="108" w:type="dxa"/>
            <w:bottom w:w="0" w:type="dxa"/>
            <w:right w:w="108" w:type="dxa"/>
          </w:tblCellMar>
        </w:tblPrEx>
        <w:trPr>
          <w:cantSplit/>
          <w:trHeight w:val="680" w:hRule="exact"/>
        </w:trPr>
        <w:tc>
          <w:tcPr>
            <w:tcW w:w="25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法制</w:t>
            </w:r>
            <w:r>
              <w:rPr>
                <w:rFonts w:hint="eastAsia" w:ascii="仿宋_GB2312" w:hAnsi="仿宋_GB2312" w:eastAsia="仿宋_GB2312" w:cs="仿宋_GB2312"/>
                <w:color w:val="000000"/>
                <w:kern w:val="0"/>
                <w:sz w:val="32"/>
                <w:szCs w:val="32"/>
                <w:lang w:eastAsia="zh-CN"/>
              </w:rPr>
              <w:t>科</w:t>
            </w:r>
          </w:p>
        </w:tc>
        <w:tc>
          <w:tcPr>
            <w:tcW w:w="2430"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李秋润</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科长</w:t>
            </w:r>
          </w:p>
        </w:tc>
        <w:tc>
          <w:tcPr>
            <w:tcW w:w="1969"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8690168</w:t>
            </w:r>
          </w:p>
        </w:tc>
      </w:tr>
    </w:tbl>
    <w:p>
      <w:pPr>
        <w:keepNext w:val="0"/>
        <w:keepLines w:val="0"/>
        <w:pageBreakBefore w:val="0"/>
        <w:kinsoku/>
        <w:wordWrap/>
        <w:overflowPunct/>
        <w:topLinePunct w:val="0"/>
        <w:bidi w:val="0"/>
        <w:spacing w:line="570" w:lineRule="exact"/>
        <w:ind w:right="0" w:rightChars="0"/>
        <w:jc w:val="center"/>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spacing w:line="570" w:lineRule="exact"/>
        <w:ind w:right="0" w:rightChars="0"/>
        <w:jc w:val="center"/>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spacing w:line="570" w:lineRule="exact"/>
        <w:ind w:right="0" w:rightChars="0"/>
        <w:rPr>
          <w:rFonts w:hint="eastAsia" w:ascii="仿宋_GB2312" w:hAnsi="仿宋_GB2312" w:eastAsia="仿宋_GB2312" w:cs="仿宋_GB2312"/>
          <w:sz w:val="32"/>
          <w:szCs w:val="32"/>
          <w:lang w:val="en-US" w:eastAsia="zh-CN"/>
        </w:rPr>
        <w:sectPr>
          <w:footerReference r:id="rId5" w:type="first"/>
          <w:pgSz w:w="11906" w:h="16838"/>
          <w:pgMar w:top="1531" w:right="1531" w:bottom="1984" w:left="1531" w:header="851" w:footer="1417" w:gutter="0"/>
          <w:pgNumType w:fmt="decimal"/>
          <w:cols w:space="720" w:num="1"/>
          <w:rtlGutter w:val="0"/>
          <w:docGrid w:type="lines" w:linePitch="317" w:charSpace="0"/>
        </w:sectPr>
      </w:pPr>
    </w:p>
    <w:p>
      <w:pPr>
        <w:keepNext w:val="0"/>
        <w:keepLines w:val="0"/>
        <w:pageBreakBefore w:val="0"/>
        <w:kinsoku/>
        <w:wordWrap/>
        <w:overflowPunct/>
        <w:topLinePunct w:val="0"/>
        <w:bidi w:val="0"/>
        <w:spacing w:line="570" w:lineRule="exact"/>
        <w:ind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2</w:t>
      </w:r>
      <w:r>
        <w:rPr>
          <w:rFonts w:hint="eastAsia" w:ascii="方正小标宋简体" w:hAnsi="方正小标宋简体" w:eastAsia="方正小标宋简体" w:cs="方正小标宋简体"/>
          <w:b/>
          <w:bCs/>
          <w:sz w:val="44"/>
          <w:szCs w:val="44"/>
        </w:rPr>
        <w:t>民生领域案件查办</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“铁拳”行动宣传工作方案</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lang w:val="en-US" w:eastAsia="zh-CN"/>
        </w:rPr>
        <w:t>高新区</w:t>
      </w:r>
      <w:r>
        <w:rPr>
          <w:rFonts w:hint="eastAsia" w:ascii="仿宋_GB2312" w:hAnsi="仿宋_GB2312" w:eastAsia="仿宋_GB2312" w:cs="仿宋_GB2312"/>
          <w:sz w:val="32"/>
          <w:szCs w:val="32"/>
        </w:rPr>
        <w:t>民生领域案件查办“铁拳”行动宣传工作，</w:t>
      </w:r>
      <w:r>
        <w:rPr>
          <w:rFonts w:hint="eastAsia" w:ascii="仿宋_GB2312" w:hAnsi="仿宋_GB2312" w:eastAsia="仿宋_GB2312" w:cs="仿宋_GB2312"/>
          <w:sz w:val="32"/>
          <w:szCs w:val="32"/>
          <w:lang w:eastAsia="zh-CN"/>
        </w:rPr>
        <w:t>打出气势、</w:t>
      </w:r>
      <w:r>
        <w:rPr>
          <w:rFonts w:hint="eastAsia" w:ascii="仿宋_GB2312" w:hAnsi="仿宋_GB2312" w:eastAsia="仿宋_GB2312" w:cs="仿宋_GB2312"/>
          <w:sz w:val="32"/>
          <w:szCs w:val="32"/>
        </w:rPr>
        <w:t>打出声威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树立“铁拳”品牌形象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省局、市局“铁拳”行动实施方案</w:t>
      </w:r>
      <w:r>
        <w:rPr>
          <w:rFonts w:hint="eastAsia" w:ascii="仿宋_GB2312" w:hAnsi="仿宋_GB2312" w:eastAsia="仿宋_GB2312" w:cs="仿宋_GB2312"/>
          <w:sz w:val="32"/>
          <w:szCs w:val="32"/>
        </w:rPr>
        <w:t>要求，制定本方案。</w:t>
      </w:r>
    </w:p>
    <w:p>
      <w:pPr>
        <w:pStyle w:val="9"/>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认真贯彻</w:t>
      </w:r>
      <w:r>
        <w:rPr>
          <w:rFonts w:hint="eastAsia" w:ascii="仿宋_GB2312" w:hAnsi="仿宋_GB2312" w:eastAsia="仿宋_GB2312" w:cs="仿宋_GB2312"/>
          <w:sz w:val="32"/>
          <w:szCs w:val="32"/>
          <w:lang w:eastAsia="zh-CN"/>
        </w:rPr>
        <w:t>省局、市局</w:t>
      </w:r>
      <w:r>
        <w:rPr>
          <w:rFonts w:hint="eastAsia" w:ascii="仿宋_GB2312" w:hAnsi="仿宋_GB2312" w:eastAsia="仿宋_GB2312" w:cs="仿宋_GB2312"/>
          <w:sz w:val="32"/>
          <w:szCs w:val="32"/>
        </w:rPr>
        <w:t>关于“铁拳”行动</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部署要求，聚焦民生重点领域，</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办成一批“铁案”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坚持打宣结合</w:t>
      </w:r>
      <w:r>
        <w:rPr>
          <w:rFonts w:hint="eastAsia" w:ascii="仿宋_GB2312" w:hAnsi="仿宋_GB2312" w:eastAsia="仿宋_GB2312" w:cs="仿宋_GB2312"/>
          <w:sz w:val="32"/>
          <w:szCs w:val="32"/>
          <w:lang w:eastAsia="zh-CN"/>
        </w:rPr>
        <w:t>，突出曝光震慑，真正实现查办一案、警示一片，不断提升人民群众的满意度和获得感。</w:t>
      </w:r>
    </w:p>
    <w:p>
      <w:pPr>
        <w:pStyle w:val="9"/>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二、宣传任务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坚持案件查办和宣传工作并重，聚焦查办重点，突出宣传主题，将曝光典型案件与深度宣传报道相结合，上下同频共振，切实形成“合唱”效果。</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3" w:firstLineChars="200"/>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kern w:val="2"/>
          <w:sz w:val="32"/>
          <w:szCs w:val="32"/>
          <w:lang w:val="en-US" w:eastAsia="zh-CN" w:bidi="ar-SA"/>
        </w:rPr>
        <w:t>（一）定期曝光典型案例，释放警示震慑效果。</w:t>
      </w:r>
      <w:r>
        <w:rPr>
          <w:rFonts w:hint="eastAsia" w:ascii="仿宋_GB2312" w:hAnsi="仿宋_GB2312" w:eastAsia="仿宋_GB2312" w:cs="仿宋_GB2312"/>
          <w:sz w:val="32"/>
          <w:szCs w:val="32"/>
          <w:lang w:val="en-US" w:eastAsia="zh-CN"/>
        </w:rPr>
        <w:t>聚焦</w:t>
      </w:r>
      <w:r>
        <w:rPr>
          <w:rFonts w:hint="eastAsia" w:ascii="仿宋_GB2312" w:hAnsi="仿宋_GB2312" w:eastAsia="仿宋_GB2312" w:cs="仿宋_GB2312"/>
          <w:sz w:val="32"/>
          <w:szCs w:val="32"/>
          <w:lang w:eastAsia="zh-CN"/>
        </w:rPr>
        <w:t>查办</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eastAsia="zh-CN"/>
        </w:rPr>
        <w:t>每月至少曝光一批</w:t>
      </w:r>
      <w:r>
        <w:rPr>
          <w:rFonts w:hint="eastAsia" w:ascii="仿宋_GB2312" w:hAnsi="仿宋_GB2312" w:eastAsia="仿宋_GB2312" w:cs="仿宋_GB2312"/>
          <w:sz w:val="32"/>
          <w:szCs w:val="32"/>
        </w:rPr>
        <w:t>典型案</w:t>
      </w:r>
      <w:r>
        <w:rPr>
          <w:rFonts w:hint="eastAsia" w:ascii="仿宋_GB2312" w:hAnsi="仿宋_GB2312" w:eastAsia="仿宋_GB2312" w:cs="仿宋_GB2312"/>
          <w:sz w:val="32"/>
          <w:szCs w:val="32"/>
          <w:lang w:val="en-US" w:eastAsia="zh-CN"/>
        </w:rPr>
        <w:t>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开展深度报道，精选部分案例</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深入解读宣传，以案释法，以案普法。</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科室、所</w:t>
      </w:r>
      <w:r>
        <w:rPr>
          <w:rFonts w:hint="eastAsia" w:ascii="仿宋_GB2312" w:hAnsi="仿宋_GB2312" w:eastAsia="仿宋_GB2312" w:cs="仿宋_GB2312"/>
          <w:sz w:val="32"/>
          <w:szCs w:val="32"/>
          <w:lang w:eastAsia="zh-CN"/>
        </w:rPr>
        <w:t>要将本地曝光案例情况</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lang w:eastAsia="zh-CN"/>
        </w:rPr>
        <w:t>报送</w:t>
      </w:r>
      <w:r>
        <w:rPr>
          <w:rFonts w:hint="eastAsia" w:ascii="仿宋_GB2312" w:hAnsi="仿宋_GB2312" w:eastAsia="仿宋_GB2312" w:cs="仿宋_GB2312"/>
          <w:sz w:val="32"/>
          <w:szCs w:val="32"/>
          <w:lang w:val="en-US" w:eastAsia="zh-CN"/>
        </w:rPr>
        <w:t>法制科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由法制科汇总后统一报送市局</w:t>
      </w:r>
      <w:r>
        <w:rPr>
          <w:rFonts w:hint="eastAsia" w:ascii="仿宋_GB2312" w:hAnsi="仿宋_GB2312" w:eastAsia="仿宋_GB2312" w:cs="仿宋_GB2312"/>
          <w:sz w:val="32"/>
          <w:szCs w:val="32"/>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bCs/>
          <w:kern w:val="2"/>
          <w:sz w:val="32"/>
          <w:szCs w:val="32"/>
          <w:lang w:val="en-US" w:eastAsia="zh-CN" w:bidi="ar-SA"/>
        </w:rPr>
        <w:t>（二）召开新闻发布会或通气会，充分展示办案成效。</w:t>
      </w:r>
      <w:r>
        <w:rPr>
          <w:rFonts w:hint="eastAsia" w:ascii="仿宋_GB2312" w:hAnsi="仿宋_GB2312" w:eastAsia="仿宋_GB2312" w:cs="仿宋_GB2312"/>
          <w:sz w:val="32"/>
          <w:szCs w:val="32"/>
          <w:lang w:val="en-US" w:eastAsia="zh-CN"/>
        </w:rPr>
        <w:t>高新区行政审批局</w:t>
      </w:r>
      <w:r>
        <w:rPr>
          <w:rFonts w:hint="eastAsia" w:ascii="仿宋_GB2312" w:hAnsi="仿宋_GB2312" w:eastAsia="仿宋_GB2312" w:cs="仿宋_GB2312"/>
          <w:color w:val="auto"/>
          <w:sz w:val="32"/>
          <w:szCs w:val="32"/>
          <w:lang w:val="en-US" w:eastAsia="zh-CN"/>
        </w:rPr>
        <w:t>将在上、下半年分别召开</w:t>
      </w:r>
      <w:r>
        <w:rPr>
          <w:rFonts w:hint="eastAsia" w:ascii="仿宋_GB2312" w:hAnsi="仿宋_GB2312" w:eastAsia="仿宋_GB2312" w:cs="仿宋_GB2312"/>
          <w:color w:val="auto"/>
          <w:sz w:val="32"/>
          <w:szCs w:val="32"/>
          <w:lang w:eastAsia="zh-CN"/>
        </w:rPr>
        <w:t>新闻发布会（通气会），曝光典型案例，</w:t>
      </w:r>
      <w:r>
        <w:rPr>
          <w:rFonts w:hint="eastAsia" w:ascii="仿宋_GB2312" w:hAnsi="仿宋_GB2312" w:eastAsia="仿宋_GB2312" w:cs="仿宋_GB2312"/>
          <w:color w:val="auto"/>
          <w:sz w:val="32"/>
          <w:szCs w:val="32"/>
        </w:rPr>
        <w:t>展示案件查办成效，</w:t>
      </w:r>
      <w:r>
        <w:rPr>
          <w:rFonts w:hint="eastAsia" w:ascii="仿宋_GB2312" w:hAnsi="仿宋_GB2312" w:eastAsia="仿宋_GB2312" w:cs="仿宋_GB2312"/>
          <w:color w:val="auto"/>
          <w:sz w:val="32"/>
          <w:szCs w:val="32"/>
          <w:lang w:val="en-US" w:eastAsia="zh-CN"/>
        </w:rPr>
        <w:t>彰显</w:t>
      </w:r>
      <w:r>
        <w:rPr>
          <w:rFonts w:hint="eastAsia" w:ascii="仿宋_GB2312" w:hAnsi="仿宋_GB2312" w:eastAsia="仿宋_GB2312" w:cs="仿宋_GB2312"/>
          <w:color w:val="auto"/>
          <w:sz w:val="32"/>
          <w:szCs w:val="32"/>
        </w:rPr>
        <w:t>市场监管执法</w:t>
      </w:r>
      <w:r>
        <w:rPr>
          <w:rFonts w:hint="eastAsia" w:ascii="仿宋_GB2312" w:hAnsi="仿宋_GB2312" w:eastAsia="仿宋_GB2312" w:cs="仿宋_GB2312"/>
          <w:color w:val="auto"/>
          <w:sz w:val="32"/>
          <w:szCs w:val="32"/>
          <w:lang w:eastAsia="zh-CN"/>
        </w:rPr>
        <w:t>为民形象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视情邀请在“铁拳”行动中有创新、有突破、成效显著的科室介绍经验、推广做法。参照市局做法，加强与宣传部门协调，年内至少组织两次以上</w:t>
      </w:r>
      <w:r>
        <w:rPr>
          <w:rFonts w:hint="eastAsia" w:ascii="仿宋_GB2312" w:hAnsi="仿宋_GB2312" w:eastAsia="仿宋_GB2312" w:cs="仿宋_GB2312"/>
          <w:color w:val="auto"/>
          <w:sz w:val="32"/>
          <w:szCs w:val="32"/>
        </w:rPr>
        <w:t>新闻发布会</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lang w:eastAsia="zh-CN"/>
        </w:rPr>
        <w:t>通气会。</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570" w:lineRule="exact"/>
        <w:ind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kern w:val="2"/>
          <w:sz w:val="32"/>
          <w:szCs w:val="32"/>
          <w:lang w:val="en-US" w:eastAsia="zh-CN" w:bidi="ar-SA"/>
        </w:rPr>
        <w:t>开办专题专栏，扩大宣传面。</w:t>
      </w:r>
      <w:r>
        <w:rPr>
          <w:rFonts w:hint="eastAsia" w:ascii="仿宋_GB2312" w:hAnsi="仿宋_GB2312" w:eastAsia="仿宋_GB2312" w:cs="仿宋_GB2312"/>
          <w:sz w:val="32"/>
          <w:szCs w:val="32"/>
          <w:lang w:val="en-US" w:eastAsia="zh-CN"/>
        </w:rPr>
        <w:t>加强与媒体协调，创新宣传报道方式，在官网官微、广播电视、报刊杂志等主流媒体开办“</w:t>
      </w:r>
      <w:r>
        <w:rPr>
          <w:rFonts w:hint="eastAsia" w:ascii="仿宋_GB2312" w:hAnsi="仿宋_GB2312" w:eastAsia="仿宋_GB2312" w:cs="仿宋_GB2312"/>
          <w:sz w:val="32"/>
          <w:szCs w:val="32"/>
          <w:lang w:eastAsia="zh-CN"/>
        </w:rPr>
        <w:t>铁拳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行动</w:t>
      </w:r>
      <w:r>
        <w:rPr>
          <w:rFonts w:hint="eastAsia" w:ascii="仿宋_GB2312" w:hAnsi="仿宋_GB2312" w:eastAsia="仿宋_GB2312" w:cs="仿宋_GB2312"/>
          <w:sz w:val="32"/>
          <w:szCs w:val="32"/>
          <w:lang w:val="en-US" w:eastAsia="zh-CN"/>
        </w:rPr>
        <w:t>专栏，定期发布“铁拳”行动信息、曝光典型案例。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bCs/>
          <w:kern w:val="2"/>
          <w:sz w:val="32"/>
          <w:szCs w:val="32"/>
          <w:lang w:val="en-US" w:eastAsia="zh-CN" w:bidi="ar-SA"/>
        </w:rPr>
        <w:t>（四）加强情况通报，营造争先氛围。</w:t>
      </w:r>
      <w:r>
        <w:rPr>
          <w:rFonts w:hint="eastAsia" w:ascii="仿宋_GB2312" w:hAnsi="仿宋_GB2312" w:eastAsia="仿宋_GB2312" w:cs="仿宋_GB2312"/>
          <w:color w:val="auto"/>
          <w:sz w:val="32"/>
          <w:szCs w:val="32"/>
        </w:rPr>
        <w:t>编</w:t>
      </w:r>
      <w:r>
        <w:rPr>
          <w:rFonts w:hint="eastAsia" w:ascii="仿宋_GB2312" w:hAnsi="仿宋_GB2312" w:eastAsia="仿宋_GB2312" w:cs="仿宋_GB2312"/>
          <w:color w:val="auto"/>
          <w:sz w:val="32"/>
          <w:szCs w:val="32"/>
          <w:lang w:eastAsia="zh-CN"/>
        </w:rPr>
        <w:t>发</w:t>
      </w:r>
      <w:r>
        <w:rPr>
          <w:rFonts w:hint="eastAsia" w:ascii="仿宋_GB2312" w:hAnsi="仿宋_GB2312" w:eastAsia="仿宋_GB2312" w:cs="仿宋_GB2312"/>
          <w:color w:val="auto"/>
          <w:sz w:val="32"/>
          <w:szCs w:val="32"/>
        </w:rPr>
        <w:t>“铁拳”行动简报，总结有效做法和成功经验，</w:t>
      </w:r>
      <w:r>
        <w:rPr>
          <w:rFonts w:hint="eastAsia" w:ascii="仿宋_GB2312" w:hAnsi="仿宋_GB2312" w:eastAsia="仿宋_GB2312" w:cs="仿宋_GB2312"/>
          <w:color w:val="auto"/>
          <w:sz w:val="32"/>
          <w:szCs w:val="32"/>
          <w:lang w:val="en-US" w:eastAsia="zh-CN"/>
        </w:rPr>
        <w:t>上报市局，</w:t>
      </w:r>
      <w:r>
        <w:rPr>
          <w:rFonts w:hint="eastAsia" w:ascii="仿宋_GB2312" w:hAnsi="仿宋_GB2312" w:eastAsia="仿宋_GB2312" w:cs="仿宋_GB2312"/>
          <w:color w:val="auto"/>
          <w:sz w:val="32"/>
          <w:szCs w:val="32"/>
        </w:rPr>
        <w:t>通报“铁拳”行动重点领域案件办理情况，褒扬先进，鞭策落后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各科室要加强资料积累，每月30日前报送典型案例和宣传工作信息。</w:t>
      </w:r>
    </w:p>
    <w:p>
      <w:pPr>
        <w:pStyle w:val="9"/>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工作要求</w:t>
      </w:r>
    </w:p>
    <w:p>
      <w:pPr>
        <w:pStyle w:val="9"/>
        <w:keepNext w:val="0"/>
        <w:keepLines w:val="0"/>
        <w:pageBreakBefore w:val="0"/>
        <w:widowControl w:val="0"/>
        <w:kinsoku/>
        <w:wordWrap/>
        <w:overflowPunct/>
        <w:topLinePunct w:val="0"/>
        <w:autoSpaceDE/>
        <w:autoSpaceDN/>
        <w:bidi w:val="0"/>
        <w:adjustRightInd/>
        <w:snapToGrid/>
        <w:spacing w:line="570" w:lineRule="exact"/>
        <w:ind w:right="0" w:rightChars="0" w:firstLine="643" w:firstLineChars="200"/>
        <w:textAlignment w:val="auto"/>
        <w:outlineLvl w:val="9"/>
        <w:rPr>
          <w:rFonts w:hint="eastAsia" w:ascii="仿宋_GB2312" w:hAnsi="仿宋_GB2312" w:eastAsia="仿宋_GB2312" w:cs="仿宋_GB2312"/>
          <w:sz w:val="32"/>
          <w:szCs w:val="32"/>
          <w:lang w:val="en-US"/>
        </w:rPr>
      </w:pPr>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加强</w:t>
      </w:r>
      <w:r>
        <w:rPr>
          <w:rFonts w:hint="eastAsia" w:ascii="楷体" w:hAnsi="楷体" w:eastAsia="楷体" w:cs="楷体"/>
          <w:b/>
          <w:bCs/>
          <w:sz w:val="32"/>
          <w:szCs w:val="32"/>
        </w:rPr>
        <w:t>组织</w:t>
      </w:r>
      <w:r>
        <w:rPr>
          <w:rFonts w:hint="eastAsia" w:ascii="楷体" w:hAnsi="楷体" w:eastAsia="楷体" w:cs="楷体"/>
          <w:b/>
          <w:bCs/>
          <w:sz w:val="32"/>
          <w:szCs w:val="32"/>
          <w:lang w:val="en-US" w:eastAsia="zh-CN"/>
        </w:rPr>
        <w:t>策划</w:t>
      </w:r>
      <w:r>
        <w:rPr>
          <w:rFonts w:hint="eastAsia" w:ascii="楷体" w:hAnsi="楷体" w:eastAsia="楷体" w:cs="楷体"/>
          <w:b/>
          <w:bCs/>
          <w:sz w:val="32"/>
          <w:szCs w:val="32"/>
        </w:rPr>
        <w:t>。</w:t>
      </w:r>
      <w:r>
        <w:rPr>
          <w:rFonts w:hint="eastAsia" w:ascii="仿宋_GB2312" w:hAnsi="仿宋_GB2312" w:eastAsia="仿宋_GB2312" w:cs="仿宋_GB2312"/>
          <w:kern w:val="0"/>
          <w:sz w:val="32"/>
          <w:szCs w:val="32"/>
          <w:lang w:val="en-US" w:eastAsia="zh-CN"/>
        </w:rPr>
        <w:t>各科室要高度重视“铁拳”行动宣传工作，结合实际，</w:t>
      </w:r>
      <w:r>
        <w:rPr>
          <w:rFonts w:hint="eastAsia" w:ascii="仿宋_GB2312" w:hAnsi="仿宋_GB2312" w:eastAsia="仿宋_GB2312" w:cs="仿宋_GB2312"/>
          <w:sz w:val="32"/>
          <w:szCs w:val="32"/>
          <w:lang w:val="en-US" w:eastAsia="zh-CN"/>
        </w:rPr>
        <w:t>用足集聚式、系统化手段，</w:t>
      </w:r>
      <w:r>
        <w:rPr>
          <w:rFonts w:hint="eastAsia" w:ascii="仿宋_GB2312" w:hAnsi="仿宋_GB2312" w:eastAsia="仿宋_GB2312" w:cs="仿宋_GB2312"/>
          <w:kern w:val="0"/>
          <w:sz w:val="32"/>
          <w:szCs w:val="32"/>
          <w:lang w:val="en-US" w:eastAsia="zh-CN"/>
        </w:rPr>
        <w:t>充分展现案件查办成效，持续释放震慑效果。</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kern w:val="2"/>
          <w:sz w:val="32"/>
          <w:szCs w:val="32"/>
          <w:lang w:val="en-US" w:eastAsia="zh-CN" w:bidi="ar-SA"/>
        </w:rPr>
        <w:t>（二）全面立体宣传。</w:t>
      </w:r>
      <w:r>
        <w:rPr>
          <w:rFonts w:hint="eastAsia" w:ascii="仿宋_GB2312" w:hAnsi="仿宋_GB2312" w:eastAsia="仿宋_GB2312" w:cs="仿宋_GB2312"/>
          <w:sz w:val="32"/>
          <w:szCs w:val="32"/>
          <w:lang w:eastAsia="zh-CN"/>
        </w:rPr>
        <w:t>坚持线上线下相结合，充分利用电视、网络、报刊、广播等开展立体宣传。开展“铁拳”行动进社区、进市场、进广场等活动，掀起“合唱”磅礴声势。结合“铁拳”行动进度和案件曝光情况，</w:t>
      </w:r>
      <w:r>
        <w:rPr>
          <w:rFonts w:hint="eastAsia" w:ascii="仿宋_GB2312" w:hAnsi="仿宋_GB2312" w:eastAsia="仿宋_GB2312" w:cs="仿宋_GB2312"/>
          <w:sz w:val="32"/>
          <w:szCs w:val="32"/>
        </w:rPr>
        <w:t>通过现身说法、专家点评等方式，开展形式多样的宣传报道活动</w:t>
      </w:r>
      <w:r>
        <w:rPr>
          <w:rFonts w:hint="eastAsia" w:ascii="仿宋_GB2312" w:hAnsi="仿宋_GB2312" w:eastAsia="仿宋_GB2312" w:cs="仿宋_GB2312"/>
          <w:sz w:val="32"/>
          <w:szCs w:val="32"/>
          <w:lang w:eastAsia="zh-CN"/>
        </w:rPr>
        <w:t>，用接地气、有深度的报道唤起全社会关注。</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（三）准确把握时度效。</w:t>
      </w:r>
      <w:r>
        <w:rPr>
          <w:rFonts w:hint="eastAsia" w:ascii="仿宋_GB2312" w:hAnsi="仿宋_GB2312" w:eastAsia="仿宋_GB2312" w:cs="仿宋_GB2312"/>
          <w:sz w:val="32"/>
          <w:szCs w:val="32"/>
          <w:lang w:val="en-US" w:eastAsia="zh-CN"/>
        </w:rPr>
        <w:t>坚持政治效果、法律效果、社会效果有机统一原则，把握宣传时机，注重宣传实效。重大宣传活动要加强与宣传部门沟通协调，</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val="en-US" w:eastAsia="zh-CN"/>
        </w:rPr>
        <w:t>宣传工作主基调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val="en-US" w:eastAsia="zh-CN"/>
        </w:rPr>
        <w:t>高度关注舆情动态，</w:t>
      </w:r>
      <w:r>
        <w:rPr>
          <w:rFonts w:hint="eastAsia" w:ascii="仿宋_GB2312" w:hAnsi="仿宋_GB2312" w:eastAsia="仿宋_GB2312" w:cs="仿宋_GB2312"/>
          <w:sz w:val="32"/>
          <w:szCs w:val="32"/>
        </w:rPr>
        <w:t>提升舆情处置能力，及时回应社会关切，</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rPr>
        <w:t>避免舆情风险。</w:t>
      </w:r>
    </w:p>
    <w:p>
      <w:pPr>
        <w:pStyle w:val="9"/>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outlineLvl w:val="9"/>
        <w:rPr>
          <w:rFonts w:hint="eastAsia" w:ascii="仿宋_GB2312" w:hAnsi="仿宋_GB2312" w:eastAsia="仿宋_GB2312" w:cs="仿宋_GB2312"/>
          <w:sz w:val="32"/>
          <w:szCs w:val="32"/>
        </w:rPr>
      </w:pPr>
    </w:p>
    <w:p>
      <w:pPr>
        <w:pStyle w:val="9"/>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70" w:lineRule="exact"/>
        <w:ind w:right="0" w:rightChars="0"/>
        <w:rPr>
          <w:rFonts w:hint="eastAsia" w:ascii="仿宋_GB2312" w:hAnsi="仿宋_GB2312" w:eastAsia="仿宋_GB2312" w:cs="仿宋_GB2312"/>
          <w:sz w:val="32"/>
          <w:szCs w:val="32"/>
        </w:rPr>
        <w:sectPr>
          <w:pgSz w:w="11906" w:h="16838"/>
          <w:pgMar w:top="2098" w:right="1531" w:bottom="1984" w:left="1531" w:header="851" w:footer="1417" w:gutter="0"/>
          <w:pgNumType w:fmt="decimal"/>
          <w:cols w:space="720" w:num="1"/>
          <w:rtlGutter w:val="0"/>
          <w:docGrid w:type="lines" w:linePitch="318" w:charSpace="0"/>
        </w:sectPr>
      </w:pPr>
    </w:p>
    <w:p>
      <w:pPr>
        <w:keepNext w:val="0"/>
        <w:keepLines w:val="0"/>
        <w:pageBreakBefore w:val="0"/>
        <w:kinsoku/>
        <w:wordWrap/>
        <w:overflowPunct/>
        <w:topLinePunct w:val="0"/>
        <w:bidi w:val="0"/>
        <w:spacing w:line="570" w:lineRule="exact"/>
        <w:ind w:right="0" w:rightChars="0"/>
        <w:rPr>
          <w:rFonts w:hint="eastAsia" w:ascii="黑体" w:hAnsi="黑体" w:eastAsia="黑体" w:cs="黑体"/>
          <w:sz w:val="32"/>
          <w:szCs w:val="32"/>
          <w:lang w:val="en-US" w:eastAsia="zh-CN"/>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4</w:t>
      </w:r>
    </w:p>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2022民生领域案件查办“铁拳”行动</w:t>
      </w:r>
    </w:p>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典型案</w:t>
      </w:r>
      <w:r>
        <w:rPr>
          <w:rFonts w:hint="eastAsia" w:ascii="Times New Roman" w:hAnsi="Times New Roman" w:eastAsia="方正小标宋简体" w:cs="方正小标宋简体"/>
          <w:sz w:val="36"/>
          <w:szCs w:val="36"/>
          <w:lang w:eastAsia="zh-CN"/>
        </w:rPr>
        <w:t>件报送</w:t>
      </w:r>
      <w:r>
        <w:rPr>
          <w:rFonts w:hint="eastAsia" w:ascii="Times New Roman" w:hAnsi="Times New Roman" w:eastAsia="方正小标宋简体" w:cs="方正小标宋简体"/>
          <w:sz w:val="36"/>
          <w:szCs w:val="36"/>
        </w:rPr>
        <w:t>目录</w:t>
      </w:r>
    </w:p>
    <w:p>
      <w:pPr>
        <w:keepNext w:val="0"/>
        <w:keepLines w:val="0"/>
        <w:pageBreakBefore w:val="0"/>
        <w:shd w:val="clear" w:color="auto" w:fill="auto"/>
        <w:kinsoku/>
        <w:wordWrap/>
        <w:overflowPunct/>
        <w:topLinePunct w:val="0"/>
        <w:bidi w:val="0"/>
        <w:spacing w:line="570" w:lineRule="exact"/>
        <w:ind w:right="0" w:rightChars="0"/>
        <w:jc w:val="left"/>
        <w:rPr>
          <w:rFonts w:hint="eastAsia" w:ascii="黑体" w:hAnsi="黑体" w:eastAsia="黑体" w:cs="黑体"/>
          <w:sz w:val="28"/>
          <w:szCs w:val="28"/>
          <w:lang w:val="en-US" w:eastAsia="zh-CN"/>
        </w:rPr>
      </w:pPr>
      <w:r>
        <w:rPr>
          <w:rFonts w:hint="eastAsia" w:ascii="黑体" w:hAnsi="黑体" w:eastAsia="黑体" w:cs="黑体"/>
          <w:sz w:val="28"/>
          <w:szCs w:val="28"/>
        </w:rPr>
        <w:t>单位：</w:t>
      </w:r>
      <w:r>
        <w:rPr>
          <w:rFonts w:hint="eastAsia" w:ascii="黑体" w:hAnsi="黑体" w:eastAsia="黑体" w:cs="黑体"/>
          <w:sz w:val="28"/>
          <w:szCs w:val="28"/>
          <w:u w:val="single"/>
        </w:rPr>
        <w:t xml:space="preserve">       </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lang w:val="en-US" w:eastAsia="zh-CN"/>
        </w:rPr>
        <w:t xml:space="preserve">    统计时间：  年  月</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日至  年  月  日</w:t>
      </w:r>
    </w:p>
    <w:tbl>
      <w:tblPr>
        <w:tblStyle w:val="7"/>
        <w:tblW w:w="9329" w:type="dxa"/>
        <w:jc w:val="center"/>
        <w:tblLayout w:type="fixed"/>
        <w:tblCellMar>
          <w:top w:w="0" w:type="dxa"/>
          <w:left w:w="0" w:type="dxa"/>
          <w:bottom w:w="0" w:type="dxa"/>
          <w:right w:w="0" w:type="dxa"/>
        </w:tblCellMar>
      </w:tblPr>
      <w:tblGrid>
        <w:gridCol w:w="540"/>
        <w:gridCol w:w="3135"/>
        <w:gridCol w:w="1490"/>
        <w:gridCol w:w="1344"/>
        <w:gridCol w:w="1428"/>
        <w:gridCol w:w="1392"/>
      </w:tblGrid>
      <w:tr>
        <w:tblPrEx>
          <w:tblCellMar>
            <w:top w:w="0" w:type="dxa"/>
            <w:left w:w="0" w:type="dxa"/>
            <w:bottom w:w="0" w:type="dxa"/>
            <w:right w:w="0" w:type="dxa"/>
          </w:tblCellMar>
        </w:tblPrEx>
        <w:trPr>
          <w:trHeight w:val="842" w:hRule="atLeast"/>
          <w:jc w:val="center"/>
        </w:trPr>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ascii="Times New Roman" w:hAnsi="Times New Roman"/>
                <w:color w:val="000000"/>
                <w:sz w:val="28"/>
                <w:szCs w:val="28"/>
              </w:rPr>
            </w:pPr>
            <w:r>
              <w:rPr>
                <w:rFonts w:ascii="Times New Roman" w:hAnsi="Times New Roman" w:eastAsia="黑体" w:cs="黑体"/>
                <w:color w:val="000000"/>
                <w:sz w:val="28"/>
                <w:szCs w:val="28"/>
                <w:lang w:bidi="ar"/>
              </w:rPr>
              <w:t>序号</w:t>
            </w:r>
          </w:p>
        </w:tc>
        <w:tc>
          <w:tcPr>
            <w:tcW w:w="3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Times New Roman" w:hAnsi="Times New Roman" w:eastAsia="黑体" w:cs="黑体"/>
                <w:color w:val="000000"/>
                <w:sz w:val="28"/>
                <w:szCs w:val="28"/>
              </w:rPr>
            </w:pPr>
            <w:r>
              <w:rPr>
                <w:rFonts w:hint="eastAsia" w:ascii="Times New Roman" w:hAnsi="Times New Roman" w:eastAsia="黑体" w:cs="黑体"/>
                <w:color w:val="000000"/>
                <w:kern w:val="0"/>
                <w:sz w:val="28"/>
                <w:szCs w:val="28"/>
                <w:lang w:bidi="ar"/>
              </w:rPr>
              <w:t>案件名称</w:t>
            </w:r>
          </w:p>
        </w:tc>
        <w:tc>
          <w:tcPr>
            <w:tcW w:w="14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Times New Roman" w:hAnsi="Times New Roman" w:eastAsia="黑体" w:cs="黑体"/>
                <w:color w:val="000000"/>
                <w:kern w:val="0"/>
                <w:sz w:val="28"/>
                <w:szCs w:val="28"/>
                <w:lang w:bidi="ar"/>
              </w:rPr>
            </w:pPr>
            <w:r>
              <w:rPr>
                <w:rFonts w:hint="eastAsia" w:ascii="Times New Roman" w:hAnsi="Times New Roman" w:eastAsia="黑体" w:cs="黑体"/>
                <w:color w:val="000000"/>
                <w:kern w:val="0"/>
                <w:sz w:val="28"/>
                <w:szCs w:val="28"/>
                <w:lang w:bidi="ar"/>
              </w:rPr>
              <w:t>案件类型</w:t>
            </w:r>
          </w:p>
        </w:tc>
        <w:tc>
          <w:tcPr>
            <w:tcW w:w="1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Times New Roman" w:hAnsi="Times New Roman" w:eastAsia="黑体" w:cs="黑体"/>
                <w:color w:val="000000"/>
                <w:kern w:val="0"/>
                <w:sz w:val="28"/>
                <w:szCs w:val="28"/>
                <w:lang w:bidi="ar"/>
              </w:rPr>
            </w:pPr>
            <w:r>
              <w:rPr>
                <w:rFonts w:hint="eastAsia" w:ascii="Times New Roman" w:hAnsi="Times New Roman" w:eastAsia="黑体" w:cs="黑体"/>
                <w:color w:val="000000"/>
                <w:kern w:val="0"/>
                <w:sz w:val="28"/>
                <w:szCs w:val="28"/>
                <w:lang w:bidi="ar"/>
              </w:rPr>
              <w:t>案值</w:t>
            </w:r>
          </w:p>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Times New Roman" w:hAnsi="Times New Roman" w:eastAsia="黑体" w:cs="黑体"/>
                <w:color w:val="000000"/>
                <w:sz w:val="28"/>
                <w:szCs w:val="28"/>
              </w:rPr>
            </w:pPr>
            <w:r>
              <w:rPr>
                <w:rFonts w:hint="eastAsia" w:ascii="Times New Roman" w:hAnsi="Times New Roman" w:eastAsia="黑体" w:cs="黑体"/>
                <w:color w:val="000000"/>
                <w:kern w:val="0"/>
                <w:sz w:val="28"/>
                <w:szCs w:val="28"/>
                <w:lang w:bidi="ar"/>
              </w:rPr>
              <w:t>（万元）</w:t>
            </w:r>
          </w:p>
        </w:tc>
        <w:tc>
          <w:tcPr>
            <w:tcW w:w="14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Times New Roman" w:hAnsi="Times New Roman" w:eastAsia="黑体" w:cs="黑体"/>
                <w:color w:val="000000"/>
                <w:kern w:val="0"/>
                <w:sz w:val="28"/>
                <w:szCs w:val="28"/>
                <w:lang w:bidi="ar"/>
              </w:rPr>
            </w:pPr>
            <w:r>
              <w:rPr>
                <w:rFonts w:hint="eastAsia" w:ascii="Times New Roman" w:hAnsi="Times New Roman" w:eastAsia="黑体" w:cs="黑体"/>
                <w:color w:val="000000"/>
                <w:kern w:val="0"/>
                <w:sz w:val="28"/>
                <w:szCs w:val="28"/>
                <w:lang w:bidi="ar"/>
              </w:rPr>
              <w:t>罚没金额</w:t>
            </w:r>
          </w:p>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Times New Roman" w:hAnsi="Times New Roman" w:eastAsia="黑体" w:cs="黑体"/>
                <w:color w:val="000000"/>
                <w:sz w:val="28"/>
                <w:szCs w:val="28"/>
              </w:rPr>
            </w:pPr>
            <w:r>
              <w:rPr>
                <w:rFonts w:hint="eastAsia" w:ascii="Times New Roman" w:hAnsi="Times New Roman" w:eastAsia="黑体" w:cs="黑体"/>
                <w:color w:val="000000"/>
                <w:kern w:val="0"/>
                <w:sz w:val="28"/>
                <w:szCs w:val="28"/>
                <w:lang w:bidi="ar"/>
              </w:rPr>
              <w:t>（万元）</w:t>
            </w:r>
          </w:p>
        </w:tc>
        <w:tc>
          <w:tcPr>
            <w:tcW w:w="13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Times New Roman" w:hAnsi="Times New Roman" w:eastAsia="黑体" w:cs="黑体"/>
                <w:color w:val="000000"/>
                <w:kern w:val="0"/>
                <w:sz w:val="28"/>
                <w:szCs w:val="28"/>
                <w:lang w:bidi="ar"/>
              </w:rPr>
            </w:pPr>
            <w:r>
              <w:rPr>
                <w:rFonts w:hint="eastAsia" w:ascii="Times New Roman" w:hAnsi="Times New Roman" w:eastAsia="黑体" w:cs="黑体"/>
                <w:color w:val="000000"/>
                <w:kern w:val="0"/>
                <w:sz w:val="28"/>
                <w:szCs w:val="28"/>
                <w:lang w:bidi="ar"/>
              </w:rPr>
              <w:t>是否移送</w:t>
            </w:r>
          </w:p>
          <w:p>
            <w:pPr>
              <w:pStyle w:val="3"/>
              <w:keepNext w:val="0"/>
              <w:keepLines w:val="0"/>
              <w:pageBreakBefore w:val="0"/>
              <w:shd w:val="clear" w:color="auto" w:fill="auto"/>
              <w:kinsoku/>
              <w:wordWrap/>
              <w:overflowPunct/>
              <w:topLinePunct w:val="0"/>
              <w:bidi w:val="0"/>
              <w:spacing w:line="570" w:lineRule="exact"/>
              <w:ind w:right="0" w:rightChars="0"/>
              <w:jc w:val="center"/>
              <w:rPr>
                <w:rFonts w:hint="eastAsia"/>
              </w:rPr>
            </w:pPr>
            <w:r>
              <w:rPr>
                <w:rFonts w:hint="eastAsia" w:ascii="Times New Roman" w:hAnsi="Times New Roman" w:eastAsia="黑体" w:cs="黑体"/>
                <w:color w:val="000000"/>
                <w:kern w:val="0"/>
                <w:sz w:val="28"/>
                <w:szCs w:val="28"/>
                <w:lang w:bidi="ar"/>
              </w:rPr>
              <w:t>（是/否）</w:t>
            </w:r>
          </w:p>
        </w:tc>
      </w:tr>
      <w:tr>
        <w:tblPrEx>
          <w:tblCellMar>
            <w:top w:w="0" w:type="dxa"/>
            <w:left w:w="0" w:type="dxa"/>
            <w:bottom w:w="0" w:type="dxa"/>
            <w:right w:w="0" w:type="dxa"/>
          </w:tblCellMar>
        </w:tblPrEx>
        <w:trPr>
          <w:trHeight w:val="842" w:hRule="atLeast"/>
          <w:jc w:val="center"/>
        </w:trPr>
        <w:tc>
          <w:tcPr>
            <w:tcW w:w="54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31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××（单位）查处××（当事人）××（案由）案</w:t>
            </w:r>
          </w:p>
        </w:tc>
        <w:tc>
          <w:tcPr>
            <w:tcW w:w="149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4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42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9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r>
      <w:tr>
        <w:tblPrEx>
          <w:tblCellMar>
            <w:top w:w="0" w:type="dxa"/>
            <w:left w:w="0" w:type="dxa"/>
            <w:bottom w:w="0" w:type="dxa"/>
            <w:right w:w="0" w:type="dxa"/>
          </w:tblCellMar>
        </w:tblPrEx>
        <w:trPr>
          <w:trHeight w:val="842" w:hRule="atLeast"/>
          <w:jc w:val="center"/>
        </w:trPr>
        <w:tc>
          <w:tcPr>
            <w:tcW w:w="54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31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sz w:val="22"/>
              </w:rPr>
            </w:pPr>
          </w:p>
        </w:tc>
        <w:tc>
          <w:tcPr>
            <w:tcW w:w="149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4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42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9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r>
      <w:tr>
        <w:tblPrEx>
          <w:tblCellMar>
            <w:top w:w="0" w:type="dxa"/>
            <w:left w:w="0" w:type="dxa"/>
            <w:bottom w:w="0" w:type="dxa"/>
            <w:right w:w="0" w:type="dxa"/>
          </w:tblCellMar>
        </w:tblPrEx>
        <w:trPr>
          <w:trHeight w:val="842" w:hRule="atLeast"/>
          <w:jc w:val="center"/>
        </w:trPr>
        <w:tc>
          <w:tcPr>
            <w:tcW w:w="54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31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49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4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42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Times New Roman" w:hAnsi="Times New Roman" w:cs="仿宋_GB2312"/>
                <w:color w:val="000000"/>
                <w:sz w:val="22"/>
              </w:rPr>
            </w:pPr>
          </w:p>
        </w:tc>
        <w:tc>
          <w:tcPr>
            <w:tcW w:w="139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Times New Roman" w:hAnsi="Times New Roman" w:cs="仿宋_GB2312"/>
                <w:color w:val="000000"/>
                <w:sz w:val="22"/>
              </w:rPr>
            </w:pPr>
          </w:p>
        </w:tc>
      </w:tr>
      <w:tr>
        <w:tblPrEx>
          <w:tblCellMar>
            <w:top w:w="0" w:type="dxa"/>
            <w:left w:w="0" w:type="dxa"/>
            <w:bottom w:w="0" w:type="dxa"/>
            <w:right w:w="0" w:type="dxa"/>
          </w:tblCellMar>
        </w:tblPrEx>
        <w:trPr>
          <w:trHeight w:val="842" w:hRule="atLeast"/>
          <w:jc w:val="center"/>
        </w:trPr>
        <w:tc>
          <w:tcPr>
            <w:tcW w:w="54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ascii="Times New Roman" w:hAnsi="Times New Roman"/>
                <w:color w:val="000000"/>
                <w:sz w:val="24"/>
                <w:szCs w:val="24"/>
              </w:rPr>
            </w:pPr>
            <w:r>
              <w:rPr>
                <w:rFonts w:hint="eastAsia" w:ascii="Times New Roman" w:hAnsi="Times New Roman"/>
                <w:color w:val="000000"/>
                <w:sz w:val="24"/>
                <w:szCs w:val="24"/>
              </w:rPr>
              <w:t>...</w:t>
            </w:r>
          </w:p>
        </w:tc>
        <w:tc>
          <w:tcPr>
            <w:tcW w:w="31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Times New Roman" w:hAnsi="Times New Roman" w:cs="仿宋_GB2312"/>
                <w:color w:val="000000"/>
                <w:sz w:val="22"/>
              </w:rPr>
            </w:pPr>
          </w:p>
        </w:tc>
        <w:tc>
          <w:tcPr>
            <w:tcW w:w="149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4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42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9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r>
      <w:tr>
        <w:tblPrEx>
          <w:tblCellMar>
            <w:top w:w="0" w:type="dxa"/>
            <w:left w:w="0" w:type="dxa"/>
            <w:bottom w:w="0" w:type="dxa"/>
            <w:right w:w="0" w:type="dxa"/>
          </w:tblCellMar>
        </w:tblPrEx>
        <w:trPr>
          <w:trHeight w:val="842" w:hRule="atLeast"/>
          <w:jc w:val="center"/>
        </w:trPr>
        <w:tc>
          <w:tcPr>
            <w:tcW w:w="54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ascii="Times New Roman" w:hAnsi="Times New Roman"/>
                <w:color w:val="000000"/>
                <w:sz w:val="24"/>
                <w:szCs w:val="24"/>
              </w:rPr>
            </w:pPr>
            <w:r>
              <w:rPr>
                <w:rFonts w:hint="eastAsia" w:ascii="Times New Roman" w:hAnsi="Times New Roman"/>
                <w:color w:val="000000"/>
                <w:sz w:val="24"/>
                <w:szCs w:val="24"/>
              </w:rPr>
              <w:t>...</w:t>
            </w:r>
          </w:p>
        </w:tc>
        <w:tc>
          <w:tcPr>
            <w:tcW w:w="31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Times New Roman" w:hAnsi="Times New Roman" w:cs="仿宋_GB2312"/>
                <w:color w:val="000000"/>
                <w:sz w:val="22"/>
              </w:rPr>
            </w:pPr>
          </w:p>
        </w:tc>
        <w:tc>
          <w:tcPr>
            <w:tcW w:w="149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4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42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9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r>
      <w:tr>
        <w:tblPrEx>
          <w:tblCellMar>
            <w:top w:w="0" w:type="dxa"/>
            <w:left w:w="0" w:type="dxa"/>
            <w:bottom w:w="0" w:type="dxa"/>
            <w:right w:w="0" w:type="dxa"/>
          </w:tblCellMar>
        </w:tblPrEx>
        <w:trPr>
          <w:trHeight w:val="842" w:hRule="atLeast"/>
          <w:jc w:val="center"/>
        </w:trPr>
        <w:tc>
          <w:tcPr>
            <w:tcW w:w="54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ascii="Times New Roman" w:hAnsi="Times New Roman"/>
                <w:color w:val="000000"/>
                <w:sz w:val="24"/>
                <w:szCs w:val="24"/>
              </w:rPr>
            </w:pPr>
            <w:r>
              <w:rPr>
                <w:rFonts w:hint="eastAsia" w:ascii="Times New Roman" w:hAnsi="Times New Roman"/>
                <w:color w:val="000000"/>
                <w:sz w:val="24"/>
                <w:szCs w:val="24"/>
              </w:rPr>
              <w:t>...</w:t>
            </w:r>
          </w:p>
        </w:tc>
        <w:tc>
          <w:tcPr>
            <w:tcW w:w="31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Times New Roman" w:hAnsi="Times New Roman" w:cs="仿宋_GB2312"/>
                <w:color w:val="000000"/>
                <w:sz w:val="22"/>
              </w:rPr>
            </w:pPr>
          </w:p>
        </w:tc>
        <w:tc>
          <w:tcPr>
            <w:tcW w:w="149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4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42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9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r>
      <w:tr>
        <w:tblPrEx>
          <w:tblCellMar>
            <w:top w:w="0" w:type="dxa"/>
            <w:left w:w="0" w:type="dxa"/>
            <w:bottom w:w="0" w:type="dxa"/>
            <w:right w:w="0" w:type="dxa"/>
          </w:tblCellMar>
        </w:tblPrEx>
        <w:trPr>
          <w:trHeight w:val="842" w:hRule="atLeast"/>
          <w:jc w:val="center"/>
        </w:trPr>
        <w:tc>
          <w:tcPr>
            <w:tcW w:w="54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ascii="Times New Roman" w:hAnsi="Times New Roman"/>
                <w:color w:val="000000"/>
                <w:sz w:val="24"/>
                <w:szCs w:val="24"/>
              </w:rPr>
            </w:pPr>
            <w:r>
              <w:rPr>
                <w:rFonts w:hint="eastAsia" w:ascii="Times New Roman" w:hAnsi="Times New Roman"/>
                <w:color w:val="000000"/>
                <w:sz w:val="24"/>
                <w:szCs w:val="24"/>
              </w:rPr>
              <w:t>...</w:t>
            </w:r>
          </w:p>
        </w:tc>
        <w:tc>
          <w:tcPr>
            <w:tcW w:w="31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Times New Roman" w:hAnsi="Times New Roman" w:cs="仿宋_GB2312"/>
                <w:color w:val="000000"/>
                <w:sz w:val="22"/>
              </w:rPr>
            </w:pPr>
          </w:p>
        </w:tc>
        <w:tc>
          <w:tcPr>
            <w:tcW w:w="149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4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42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9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r>
      <w:tr>
        <w:tblPrEx>
          <w:tblCellMar>
            <w:top w:w="0" w:type="dxa"/>
            <w:left w:w="0" w:type="dxa"/>
            <w:bottom w:w="0" w:type="dxa"/>
            <w:right w:w="0" w:type="dxa"/>
          </w:tblCellMar>
        </w:tblPrEx>
        <w:trPr>
          <w:trHeight w:val="842" w:hRule="atLeast"/>
          <w:jc w:val="center"/>
        </w:trPr>
        <w:tc>
          <w:tcPr>
            <w:tcW w:w="54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ascii="Times New Roman" w:hAnsi="Times New Roman"/>
                <w:color w:val="000000"/>
                <w:sz w:val="24"/>
                <w:szCs w:val="24"/>
              </w:rPr>
            </w:pPr>
            <w:r>
              <w:rPr>
                <w:rFonts w:hint="eastAsia" w:ascii="Times New Roman" w:hAnsi="Times New Roman"/>
                <w:color w:val="000000"/>
                <w:sz w:val="24"/>
                <w:szCs w:val="24"/>
              </w:rPr>
              <w:t>...</w:t>
            </w:r>
          </w:p>
        </w:tc>
        <w:tc>
          <w:tcPr>
            <w:tcW w:w="31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Times New Roman" w:hAnsi="Times New Roman" w:cs="仿宋_GB2312"/>
                <w:color w:val="000000"/>
                <w:sz w:val="22"/>
              </w:rPr>
            </w:pPr>
          </w:p>
        </w:tc>
        <w:tc>
          <w:tcPr>
            <w:tcW w:w="149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4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42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9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r>
      <w:tr>
        <w:tblPrEx>
          <w:tblCellMar>
            <w:top w:w="0" w:type="dxa"/>
            <w:left w:w="0" w:type="dxa"/>
            <w:bottom w:w="0" w:type="dxa"/>
            <w:right w:w="0" w:type="dxa"/>
          </w:tblCellMar>
        </w:tblPrEx>
        <w:trPr>
          <w:trHeight w:val="842" w:hRule="atLeast"/>
          <w:jc w:val="center"/>
        </w:trPr>
        <w:tc>
          <w:tcPr>
            <w:tcW w:w="54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ascii="Times New Roman" w:hAnsi="Times New Roman"/>
                <w:color w:val="000000"/>
                <w:sz w:val="24"/>
                <w:szCs w:val="24"/>
              </w:rPr>
            </w:pPr>
            <w:r>
              <w:rPr>
                <w:rFonts w:hint="eastAsia" w:ascii="Times New Roman" w:hAnsi="Times New Roman"/>
                <w:color w:val="000000"/>
                <w:sz w:val="24"/>
                <w:szCs w:val="24"/>
              </w:rPr>
              <w:t>...</w:t>
            </w:r>
          </w:p>
        </w:tc>
        <w:tc>
          <w:tcPr>
            <w:tcW w:w="31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Times New Roman" w:hAnsi="Times New Roman" w:cs="仿宋_GB2312"/>
                <w:color w:val="000000"/>
                <w:sz w:val="22"/>
              </w:rPr>
            </w:pPr>
          </w:p>
        </w:tc>
        <w:tc>
          <w:tcPr>
            <w:tcW w:w="149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4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42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9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r>
      <w:tr>
        <w:tblPrEx>
          <w:tblCellMar>
            <w:top w:w="0" w:type="dxa"/>
            <w:left w:w="0" w:type="dxa"/>
            <w:bottom w:w="0" w:type="dxa"/>
            <w:right w:w="0" w:type="dxa"/>
          </w:tblCellMar>
        </w:tblPrEx>
        <w:trPr>
          <w:trHeight w:val="842" w:hRule="atLeast"/>
          <w:jc w:val="center"/>
        </w:trPr>
        <w:tc>
          <w:tcPr>
            <w:tcW w:w="54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ascii="Times New Roman" w:hAnsi="Times New Roman"/>
                <w:color w:val="000000"/>
                <w:sz w:val="24"/>
                <w:szCs w:val="24"/>
              </w:rPr>
            </w:pPr>
            <w:r>
              <w:rPr>
                <w:rFonts w:hint="eastAsia" w:ascii="Times New Roman" w:hAnsi="Times New Roman"/>
                <w:color w:val="000000"/>
                <w:sz w:val="24"/>
                <w:szCs w:val="24"/>
              </w:rPr>
              <w:t>...</w:t>
            </w:r>
          </w:p>
        </w:tc>
        <w:tc>
          <w:tcPr>
            <w:tcW w:w="31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Times New Roman" w:hAnsi="Times New Roman" w:cs="仿宋_GB2312"/>
                <w:color w:val="000000"/>
                <w:sz w:val="22"/>
              </w:rPr>
            </w:pPr>
          </w:p>
        </w:tc>
        <w:tc>
          <w:tcPr>
            <w:tcW w:w="149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4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42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c>
          <w:tcPr>
            <w:tcW w:w="139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color w:val="000000"/>
                <w:sz w:val="22"/>
              </w:rPr>
            </w:pPr>
          </w:p>
        </w:tc>
      </w:tr>
    </w:tbl>
    <w:p>
      <w:pPr>
        <w:keepNext w:val="0"/>
        <w:keepLines w:val="0"/>
        <w:pageBreakBefore w:val="0"/>
        <w:shd w:val="clear" w:color="auto" w:fill="auto"/>
        <w:kinsoku/>
        <w:wordWrap/>
        <w:overflowPunct/>
        <w:topLinePunct w:val="0"/>
        <w:bidi w:val="0"/>
        <w:spacing w:line="570" w:lineRule="exact"/>
        <w:ind w:right="0" w:rightChars="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sz w:val="24"/>
          <w:szCs w:val="24"/>
        </w:rPr>
        <w:t>说明：</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案件名称格式：</w:t>
      </w:r>
      <w:r>
        <w:rPr>
          <w:rFonts w:hint="eastAsia" w:ascii="仿宋_GB2312" w:hAnsi="仿宋_GB2312" w:eastAsia="仿宋_GB2312" w:cs="仿宋_GB2312"/>
          <w:color w:val="000000"/>
          <w:sz w:val="24"/>
          <w:szCs w:val="24"/>
        </w:rPr>
        <w:t>××（单位）查处××（当事人）××（案由）案</w:t>
      </w:r>
      <w:r>
        <w:rPr>
          <w:rFonts w:hint="eastAsia" w:ascii="仿宋_GB2312" w:hAnsi="仿宋_GB2312" w:eastAsia="仿宋_GB2312" w:cs="仿宋_GB2312"/>
          <w:color w:val="000000"/>
          <w:sz w:val="24"/>
          <w:szCs w:val="24"/>
          <w:lang w:eastAsia="zh-CN"/>
        </w:rPr>
        <w:t>；</w:t>
      </w:r>
    </w:p>
    <w:p>
      <w:pPr>
        <w:keepNext w:val="0"/>
        <w:keepLines w:val="0"/>
        <w:pageBreakBefore w:val="0"/>
        <w:shd w:val="clear" w:color="auto" w:fill="auto"/>
        <w:kinsoku/>
        <w:wordWrap/>
        <w:overflowPunct/>
        <w:topLinePunct w:val="0"/>
        <w:bidi w:val="0"/>
        <w:spacing w:line="570" w:lineRule="exact"/>
        <w:ind w:right="0" w:rightChars="0" w:firstLine="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 xml:space="preserve">      2.案件类型：参照附件</w:t>
      </w:r>
      <w:r>
        <w:rPr>
          <w:rFonts w:hint="eastAsia" w:hAnsi="仿宋_GB2312" w:cs="仿宋_GB2312"/>
          <w:color w:val="000000"/>
          <w:sz w:val="24"/>
          <w:szCs w:val="24"/>
          <w:lang w:val="en-US" w:eastAsia="zh-CN"/>
        </w:rPr>
        <w:t>6</w:t>
      </w:r>
      <w:r>
        <w:rPr>
          <w:rFonts w:hint="eastAsia" w:ascii="仿宋_GB2312" w:hAnsi="仿宋_GB2312" w:eastAsia="仿宋_GB2312" w:cs="仿宋_GB2312"/>
          <w:color w:val="000000"/>
          <w:sz w:val="24"/>
          <w:szCs w:val="24"/>
          <w:lang w:val="en-US" w:eastAsia="zh-CN"/>
        </w:rPr>
        <w:t>。</w:t>
      </w:r>
    </w:p>
    <w:p>
      <w:pPr>
        <w:keepNext w:val="0"/>
        <w:keepLines w:val="0"/>
        <w:pageBreakBefore w:val="0"/>
        <w:shd w:val="clear" w:color="auto" w:fill="auto"/>
        <w:kinsoku/>
        <w:wordWrap/>
        <w:overflowPunct/>
        <w:topLinePunct w:val="0"/>
        <w:bidi w:val="0"/>
        <w:spacing w:line="570" w:lineRule="exact"/>
        <w:ind w:right="0" w:rightChars="0"/>
        <w:jc w:val="both"/>
        <w:rPr>
          <w:rFonts w:hint="default" w:ascii="方正小标宋简体" w:hAnsi="黑体" w:eastAsia="方正小标宋简体"/>
          <w:sz w:val="32"/>
          <w:szCs w:val="32"/>
          <w:lang w:val="en-US"/>
        </w:rPr>
      </w:pPr>
      <w:r>
        <w:rPr>
          <w:rFonts w:hint="eastAsia" w:ascii="黑体" w:hAnsi="黑体" w:eastAsia="黑体" w:cs="黑体"/>
          <w:kern w:val="2"/>
          <w:sz w:val="32"/>
          <w:szCs w:val="32"/>
          <w:lang w:val="en-US" w:eastAsia="zh-CN" w:bidi="ar-SA"/>
        </w:rPr>
        <w:t>附件5</w:t>
      </w:r>
    </w:p>
    <w:p>
      <w:pPr>
        <w:pStyle w:val="3"/>
        <w:keepNext w:val="0"/>
        <w:keepLines w:val="0"/>
        <w:pageBreakBefore w:val="0"/>
        <w:shd w:val="clear" w:color="auto" w:fill="auto"/>
        <w:kinsoku/>
        <w:wordWrap/>
        <w:overflowPunct/>
        <w:topLinePunct w:val="0"/>
        <w:bidi w:val="0"/>
        <w:spacing w:line="570" w:lineRule="exact"/>
        <w:ind w:right="0" w:rightChars="0"/>
        <w:jc w:val="center"/>
        <w:rPr>
          <w:rFonts w:ascii="方正小标宋简体" w:hAnsi="黑体" w:eastAsia="方正小标宋简体"/>
          <w:sz w:val="36"/>
          <w:szCs w:val="36"/>
        </w:rPr>
      </w:pPr>
      <w:r>
        <w:rPr>
          <w:rFonts w:hint="eastAsia" w:ascii="方正小标宋简体" w:hAnsi="黑体" w:eastAsia="方正小标宋简体"/>
          <w:sz w:val="36"/>
          <w:szCs w:val="36"/>
        </w:rPr>
        <w:t>典型案件报送信息表</w:t>
      </w:r>
    </w:p>
    <w:tbl>
      <w:tblPr>
        <w:tblStyle w:val="7"/>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7"/>
        <w:gridCol w:w="1300"/>
        <w:gridCol w:w="1130"/>
        <w:gridCol w:w="1440"/>
        <w:gridCol w:w="1140"/>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247" w:type="dxa"/>
            <w:tcBorders>
              <w:top w:val="nil"/>
              <w:left w:val="nil"/>
              <w:right w:val="nil"/>
            </w:tcBorders>
            <w:noWrap w:val="0"/>
            <w:vAlign w:val="bottom"/>
          </w:tcPr>
          <w:p>
            <w:pPr>
              <w:keepNext w:val="0"/>
              <w:keepLines w:val="0"/>
              <w:pageBreakBefore w:val="0"/>
              <w:shd w:val="clear" w:color="auto" w:fill="auto"/>
              <w:kinsoku/>
              <w:wordWrap/>
              <w:overflowPunct/>
              <w:topLinePunct w:val="0"/>
              <w:bidi w:val="0"/>
              <w:adjustRightInd w:val="0"/>
              <w:snapToGrid w:val="0"/>
              <w:spacing w:line="570" w:lineRule="exact"/>
              <w:ind w:right="0" w:rightChars="0"/>
              <w:rPr>
                <w:rFonts w:hint="eastAsia" w:ascii="黑体" w:hAnsi="黑体" w:eastAsia="黑体" w:cs="黑体"/>
                <w:sz w:val="24"/>
                <w:szCs w:val="24"/>
              </w:rPr>
            </w:pPr>
            <w:r>
              <w:rPr>
                <w:rFonts w:hint="eastAsia" w:ascii="黑体" w:hAnsi="黑体" w:eastAsia="黑体" w:cs="黑体"/>
                <w:sz w:val="24"/>
                <w:szCs w:val="24"/>
              </w:rPr>
              <w:t>填写时间：</w:t>
            </w:r>
          </w:p>
        </w:tc>
        <w:tc>
          <w:tcPr>
            <w:tcW w:w="2430" w:type="dxa"/>
            <w:gridSpan w:val="2"/>
            <w:tcBorders>
              <w:top w:val="nil"/>
              <w:left w:val="nil"/>
              <w:right w:val="nil"/>
            </w:tcBorders>
            <w:noWrap w:val="0"/>
            <w:vAlign w:val="bottom"/>
          </w:tcPr>
          <w:p>
            <w:pPr>
              <w:keepNext w:val="0"/>
              <w:keepLines w:val="0"/>
              <w:pageBreakBefore w:val="0"/>
              <w:shd w:val="clear" w:color="auto" w:fill="auto"/>
              <w:kinsoku/>
              <w:wordWrap/>
              <w:overflowPunct/>
              <w:topLinePunct w:val="0"/>
              <w:bidi w:val="0"/>
              <w:adjustRightInd w:val="0"/>
              <w:snapToGrid w:val="0"/>
              <w:spacing w:line="570" w:lineRule="exact"/>
              <w:ind w:right="0" w:rightChars="0"/>
              <w:rPr>
                <w:rFonts w:hint="eastAsia" w:ascii="黑体" w:hAnsi="黑体" w:eastAsia="黑体" w:cs="黑体"/>
                <w:sz w:val="24"/>
                <w:szCs w:val="24"/>
              </w:rPr>
            </w:pPr>
            <w:r>
              <w:rPr>
                <w:rFonts w:hint="eastAsia" w:ascii="黑体" w:hAnsi="黑体" w:eastAsia="黑体" w:cs="黑体"/>
                <w:sz w:val="24"/>
                <w:szCs w:val="24"/>
              </w:rPr>
              <w:t xml:space="preserve">     年   月   日</w:t>
            </w:r>
          </w:p>
        </w:tc>
        <w:tc>
          <w:tcPr>
            <w:tcW w:w="1440" w:type="dxa"/>
            <w:tcBorders>
              <w:top w:val="nil"/>
              <w:left w:val="nil"/>
              <w:right w:val="nil"/>
            </w:tcBorders>
            <w:noWrap w:val="0"/>
            <w:vAlign w:val="bottom"/>
          </w:tcPr>
          <w:p>
            <w:pPr>
              <w:keepNext w:val="0"/>
              <w:keepLines w:val="0"/>
              <w:pageBreakBefore w:val="0"/>
              <w:shd w:val="clear" w:color="auto" w:fill="auto"/>
              <w:kinsoku/>
              <w:wordWrap/>
              <w:overflowPunct/>
              <w:topLinePunct w:val="0"/>
              <w:bidi w:val="0"/>
              <w:adjustRightInd w:val="0"/>
              <w:snapToGrid w:val="0"/>
              <w:spacing w:line="570" w:lineRule="exact"/>
              <w:ind w:right="0" w:rightChars="0"/>
              <w:jc w:val="right"/>
              <w:rPr>
                <w:rFonts w:hint="eastAsia" w:ascii="黑体" w:hAnsi="黑体" w:eastAsia="黑体" w:cs="黑体"/>
                <w:sz w:val="24"/>
                <w:szCs w:val="24"/>
              </w:rPr>
            </w:pPr>
            <w:r>
              <w:rPr>
                <w:rFonts w:hint="eastAsia" w:ascii="黑体" w:hAnsi="黑体" w:eastAsia="黑体" w:cs="黑体"/>
                <w:sz w:val="24"/>
                <w:szCs w:val="24"/>
              </w:rPr>
              <w:t>办理状态：</w:t>
            </w:r>
          </w:p>
        </w:tc>
        <w:tc>
          <w:tcPr>
            <w:tcW w:w="4125" w:type="dxa"/>
            <w:gridSpan w:val="2"/>
            <w:tcBorders>
              <w:top w:val="nil"/>
              <w:left w:val="nil"/>
              <w:right w:val="nil"/>
            </w:tcBorders>
            <w:noWrap w:val="0"/>
            <w:vAlign w:val="bottom"/>
          </w:tcPr>
          <w:p>
            <w:pPr>
              <w:keepNext w:val="0"/>
              <w:keepLines w:val="0"/>
              <w:pageBreakBefore w:val="0"/>
              <w:shd w:val="clear" w:color="auto" w:fill="auto"/>
              <w:kinsoku/>
              <w:wordWrap/>
              <w:overflowPunct/>
              <w:topLinePunct w:val="0"/>
              <w:bidi w:val="0"/>
              <w:adjustRightInd w:val="0"/>
              <w:snapToGrid w:val="0"/>
              <w:spacing w:line="570" w:lineRule="exact"/>
              <w:ind w:right="0" w:rightChars="0"/>
              <w:jc w:val="center"/>
              <w:rPr>
                <w:rFonts w:hint="eastAsia" w:ascii="黑体" w:hAnsi="黑体" w:eastAsia="黑体" w:cs="黑体"/>
                <w:sz w:val="24"/>
                <w:szCs w:val="24"/>
              </w:rPr>
            </w:pPr>
            <w:r>
              <w:rPr>
                <w:rFonts w:hint="eastAsia" w:ascii="黑体" w:hAnsi="黑体" w:eastAsia="黑体" w:cs="黑体"/>
                <w:sz w:val="24"/>
                <w:szCs w:val="24"/>
              </w:rPr>
              <w:t>☐正在办理中   ☐已办结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4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案件类型</w:t>
            </w:r>
          </w:p>
        </w:tc>
        <w:tc>
          <w:tcPr>
            <w:tcW w:w="7995" w:type="dxa"/>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4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案件名称</w:t>
            </w:r>
          </w:p>
        </w:tc>
        <w:tc>
          <w:tcPr>
            <w:tcW w:w="7995" w:type="dxa"/>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4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涉案企业名称</w:t>
            </w:r>
          </w:p>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（人员</w:t>
            </w:r>
          </w:p>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姓名）</w:t>
            </w:r>
          </w:p>
        </w:tc>
        <w:tc>
          <w:tcPr>
            <w:tcW w:w="3870"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textAlignment w:val="auto"/>
              <w:outlineLvl w:val="9"/>
              <w:rPr>
                <w:rFonts w:ascii="宋体" w:hAnsi="宋体" w:eastAsia="宋体"/>
                <w:sz w:val="24"/>
                <w:szCs w:val="24"/>
              </w:rPr>
            </w:pPr>
          </w:p>
        </w:tc>
        <w:tc>
          <w:tcPr>
            <w:tcW w:w="11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证照情况</w:t>
            </w:r>
          </w:p>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（许可信息）</w:t>
            </w:r>
          </w:p>
        </w:tc>
        <w:tc>
          <w:tcPr>
            <w:tcW w:w="298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right"/>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4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立案时间</w:t>
            </w:r>
          </w:p>
        </w:tc>
        <w:tc>
          <w:tcPr>
            <w:tcW w:w="3870"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textAlignment w:val="auto"/>
              <w:outlineLvl w:val="9"/>
              <w:rPr>
                <w:rFonts w:ascii="宋体" w:hAnsi="宋体"/>
                <w:sz w:val="24"/>
                <w:szCs w:val="24"/>
              </w:rPr>
            </w:pP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tc>
        <w:tc>
          <w:tcPr>
            <w:tcW w:w="11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结案时间</w:t>
            </w:r>
          </w:p>
        </w:tc>
        <w:tc>
          <w:tcPr>
            <w:tcW w:w="298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right"/>
              <w:textAlignment w:val="auto"/>
              <w:outlineLvl w:val="9"/>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4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涉案金额</w:t>
            </w:r>
          </w:p>
        </w:tc>
        <w:tc>
          <w:tcPr>
            <w:tcW w:w="13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right"/>
              <w:textAlignment w:val="auto"/>
              <w:outlineLvl w:val="9"/>
              <w:rPr>
                <w:rFonts w:ascii="宋体" w:hAnsi="宋体" w:eastAsia="宋体"/>
                <w:sz w:val="24"/>
                <w:szCs w:val="24"/>
              </w:rPr>
            </w:pPr>
            <w:r>
              <w:rPr>
                <w:rFonts w:hint="eastAsia" w:ascii="宋体" w:hAnsi="宋体" w:eastAsia="宋体"/>
                <w:sz w:val="24"/>
                <w:szCs w:val="24"/>
              </w:rPr>
              <w:t>（万元）</w:t>
            </w:r>
          </w:p>
        </w:tc>
        <w:tc>
          <w:tcPr>
            <w:tcW w:w="113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宋体" w:hAnsi="宋体" w:eastAsia="宋体"/>
                <w:sz w:val="24"/>
                <w:szCs w:val="24"/>
              </w:rPr>
            </w:pPr>
            <w:r>
              <w:rPr>
                <w:rFonts w:hint="eastAsia" w:ascii="黑体" w:hAnsi="黑体" w:eastAsia="黑体"/>
                <w:sz w:val="24"/>
                <w:szCs w:val="24"/>
              </w:rPr>
              <w:t>是否调解</w:t>
            </w:r>
          </w:p>
        </w:tc>
        <w:tc>
          <w:tcPr>
            <w:tcW w:w="14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ascii="宋体" w:hAnsi="宋体" w:eastAsia="宋体"/>
                <w:sz w:val="24"/>
                <w:szCs w:val="24"/>
              </w:rPr>
            </w:pPr>
            <w:r>
              <w:rPr>
                <w:rFonts w:hint="eastAsia" w:ascii="MS Gothic" w:hAnsi="MS Gothic" w:eastAsia="MS Gothic"/>
                <w:sz w:val="24"/>
                <w:szCs w:val="24"/>
              </w:rPr>
              <w:t>☐</w:t>
            </w:r>
            <w:r>
              <w:rPr>
                <w:rFonts w:hint="eastAsia" w:ascii="宋体" w:hAnsi="宋体" w:eastAsia="宋体"/>
                <w:sz w:val="24"/>
                <w:szCs w:val="24"/>
              </w:rPr>
              <w:t xml:space="preserve">是 </w:t>
            </w:r>
            <w:r>
              <w:rPr>
                <w:rFonts w:ascii="宋体" w:hAnsi="宋体" w:eastAsia="宋体"/>
                <w:sz w:val="24"/>
                <w:szCs w:val="24"/>
              </w:rPr>
              <w:t xml:space="preserve"> </w:t>
            </w:r>
            <w:r>
              <w:rPr>
                <w:rFonts w:hint="eastAsia" w:ascii="MS Gothic" w:hAnsi="MS Gothic" w:eastAsia="MS Gothic"/>
                <w:sz w:val="24"/>
                <w:szCs w:val="24"/>
              </w:rPr>
              <w:t>☐</w:t>
            </w:r>
            <w:r>
              <w:rPr>
                <w:rFonts w:hint="eastAsia" w:ascii="宋体" w:hAnsi="宋体" w:eastAsia="宋体"/>
                <w:sz w:val="24"/>
                <w:szCs w:val="24"/>
              </w:rPr>
              <w:t>否</w:t>
            </w:r>
          </w:p>
        </w:tc>
        <w:tc>
          <w:tcPr>
            <w:tcW w:w="11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赔偿数额</w:t>
            </w:r>
          </w:p>
        </w:tc>
        <w:tc>
          <w:tcPr>
            <w:tcW w:w="298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right"/>
              <w:textAlignment w:val="auto"/>
              <w:outlineLvl w:val="9"/>
              <w:rPr>
                <w:rFonts w:ascii="宋体" w:hAnsi="宋体" w:eastAsia="宋体"/>
                <w:sz w:val="24"/>
                <w:szCs w:val="24"/>
              </w:rPr>
            </w:pPr>
            <w:r>
              <w:rPr>
                <w:rFonts w:hint="eastAsia" w:ascii="宋体" w:hAnsi="宋体" w:eastAsia="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4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涉案环节</w:t>
            </w:r>
          </w:p>
        </w:tc>
        <w:tc>
          <w:tcPr>
            <w:tcW w:w="3870"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textAlignment w:val="auto"/>
              <w:outlineLvl w:val="9"/>
              <w:rPr>
                <w:rFonts w:ascii="宋体" w:hAnsi="宋体" w:eastAsia="宋体"/>
                <w:sz w:val="24"/>
                <w:szCs w:val="24"/>
              </w:rPr>
            </w:pPr>
            <w:r>
              <w:rPr>
                <w:rFonts w:hint="eastAsia" w:ascii="MS Gothic" w:hAnsi="MS Gothic" w:eastAsia="MS Gothic"/>
                <w:sz w:val="24"/>
                <w:szCs w:val="24"/>
              </w:rPr>
              <w:t>☐</w:t>
            </w:r>
            <w:r>
              <w:rPr>
                <w:rFonts w:hint="eastAsia" w:ascii="宋体" w:hAnsi="宋体" w:eastAsia="宋体"/>
                <w:sz w:val="24"/>
                <w:szCs w:val="24"/>
              </w:rPr>
              <w:t xml:space="preserve">生产 </w:t>
            </w:r>
            <w:r>
              <w:rPr>
                <w:rFonts w:ascii="宋体" w:hAnsi="宋体" w:eastAsia="宋体"/>
                <w:sz w:val="24"/>
                <w:szCs w:val="24"/>
              </w:rPr>
              <w:t xml:space="preserve"> </w:t>
            </w:r>
            <w:r>
              <w:rPr>
                <w:rFonts w:hint="eastAsia" w:ascii="MS Gothic" w:hAnsi="MS Gothic" w:eastAsia="MS Gothic"/>
                <w:sz w:val="24"/>
                <w:szCs w:val="24"/>
              </w:rPr>
              <w:t>☐</w:t>
            </w:r>
            <w:r>
              <w:rPr>
                <w:rFonts w:hint="eastAsia" w:ascii="宋体" w:hAnsi="宋体" w:eastAsia="宋体"/>
                <w:sz w:val="24"/>
                <w:szCs w:val="24"/>
              </w:rPr>
              <w:t xml:space="preserve">经营 </w:t>
            </w:r>
          </w:p>
        </w:tc>
        <w:tc>
          <w:tcPr>
            <w:tcW w:w="11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本省以外涉案省（区、市）</w:t>
            </w:r>
          </w:p>
        </w:tc>
        <w:tc>
          <w:tcPr>
            <w:tcW w:w="298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right"/>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4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是否处罚</w:t>
            </w:r>
          </w:p>
        </w:tc>
        <w:tc>
          <w:tcPr>
            <w:tcW w:w="3870"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textAlignment w:val="auto"/>
              <w:outlineLvl w:val="9"/>
              <w:rPr>
                <w:rFonts w:ascii="宋体" w:hAnsi="宋体" w:eastAsia="宋体"/>
                <w:sz w:val="24"/>
                <w:szCs w:val="24"/>
              </w:rPr>
            </w:pPr>
            <w:r>
              <w:rPr>
                <w:rFonts w:hint="eastAsia" w:ascii="MS Gothic" w:hAnsi="MS Gothic" w:eastAsia="MS Gothic"/>
                <w:sz w:val="24"/>
                <w:szCs w:val="24"/>
              </w:rPr>
              <w:t>☐</w:t>
            </w:r>
            <w:r>
              <w:rPr>
                <w:rFonts w:hint="eastAsia" w:ascii="宋体" w:hAnsi="宋体" w:eastAsia="宋体"/>
                <w:sz w:val="24"/>
                <w:szCs w:val="24"/>
              </w:rPr>
              <w:t xml:space="preserve">是 </w:t>
            </w:r>
            <w:r>
              <w:rPr>
                <w:rFonts w:ascii="宋体" w:hAnsi="宋体" w:eastAsia="宋体"/>
                <w:sz w:val="24"/>
                <w:szCs w:val="24"/>
              </w:rPr>
              <w:t xml:space="preserve"> </w:t>
            </w:r>
            <w:r>
              <w:rPr>
                <w:rFonts w:hint="eastAsia" w:ascii="MS Gothic" w:hAnsi="MS Gothic" w:eastAsia="MS Gothic"/>
                <w:sz w:val="24"/>
                <w:szCs w:val="24"/>
              </w:rPr>
              <w:t>☐</w:t>
            </w:r>
            <w:r>
              <w:rPr>
                <w:rFonts w:hint="eastAsia" w:ascii="宋体" w:hAnsi="宋体" w:eastAsia="宋体"/>
                <w:sz w:val="24"/>
                <w:szCs w:val="24"/>
              </w:rPr>
              <w:t>否</w:t>
            </w:r>
          </w:p>
        </w:tc>
        <w:tc>
          <w:tcPr>
            <w:tcW w:w="11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作出处罚时间</w:t>
            </w:r>
          </w:p>
        </w:tc>
        <w:tc>
          <w:tcPr>
            <w:tcW w:w="298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right"/>
              <w:textAlignment w:val="auto"/>
              <w:outlineLvl w:val="9"/>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247"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处罚决定</w:t>
            </w:r>
          </w:p>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内容</w:t>
            </w:r>
          </w:p>
        </w:tc>
        <w:tc>
          <w:tcPr>
            <w:tcW w:w="3870" w:type="dxa"/>
            <w:gridSpan w:val="3"/>
            <w:vMerge w:val="restart"/>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textAlignment w:val="auto"/>
              <w:outlineLvl w:val="9"/>
              <w:rPr>
                <w:rFonts w:ascii="宋体" w:hAnsi="宋体" w:eastAsia="宋体"/>
                <w:szCs w:val="21"/>
              </w:rPr>
            </w:pPr>
          </w:p>
        </w:tc>
        <w:tc>
          <w:tcPr>
            <w:tcW w:w="11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宋体" w:hAnsi="宋体" w:eastAsia="宋体"/>
                <w:sz w:val="24"/>
                <w:szCs w:val="24"/>
              </w:rPr>
            </w:pPr>
            <w:r>
              <w:rPr>
                <w:rFonts w:hint="eastAsia" w:ascii="黑体" w:hAnsi="黑体" w:eastAsia="黑体"/>
                <w:sz w:val="24"/>
                <w:szCs w:val="24"/>
              </w:rPr>
              <w:t>罚款数额</w:t>
            </w:r>
          </w:p>
        </w:tc>
        <w:tc>
          <w:tcPr>
            <w:tcW w:w="298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right"/>
              <w:textAlignment w:val="auto"/>
              <w:outlineLvl w:val="9"/>
              <w:rPr>
                <w:rFonts w:ascii="宋体" w:hAnsi="宋体" w:eastAsia="宋体"/>
                <w:sz w:val="24"/>
                <w:szCs w:val="24"/>
              </w:rPr>
            </w:pPr>
            <w:r>
              <w:rPr>
                <w:rFonts w:hint="eastAsia" w:ascii="宋体" w:hAnsi="宋体" w:eastAsia="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247"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p>
        </w:tc>
        <w:tc>
          <w:tcPr>
            <w:tcW w:w="3870" w:type="dxa"/>
            <w:gridSpan w:val="3"/>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textAlignment w:val="auto"/>
              <w:outlineLvl w:val="9"/>
              <w:rPr>
                <w:rFonts w:ascii="宋体" w:hAnsi="宋体" w:eastAsia="宋体"/>
                <w:sz w:val="24"/>
                <w:szCs w:val="24"/>
              </w:rPr>
            </w:pPr>
          </w:p>
        </w:tc>
        <w:tc>
          <w:tcPr>
            <w:tcW w:w="11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没收违法</w:t>
            </w:r>
          </w:p>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宋体" w:hAnsi="宋体" w:eastAsia="宋体"/>
                <w:sz w:val="24"/>
                <w:szCs w:val="24"/>
              </w:rPr>
            </w:pPr>
            <w:r>
              <w:rPr>
                <w:rFonts w:hint="eastAsia" w:ascii="黑体" w:hAnsi="黑体" w:eastAsia="黑体"/>
                <w:sz w:val="24"/>
                <w:szCs w:val="24"/>
              </w:rPr>
              <w:t>所得</w:t>
            </w:r>
          </w:p>
        </w:tc>
        <w:tc>
          <w:tcPr>
            <w:tcW w:w="298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right"/>
              <w:textAlignment w:val="auto"/>
              <w:outlineLvl w:val="9"/>
              <w:rPr>
                <w:rFonts w:ascii="宋体" w:hAnsi="宋体" w:eastAsia="宋体"/>
                <w:sz w:val="24"/>
                <w:szCs w:val="24"/>
              </w:rPr>
            </w:pPr>
            <w:r>
              <w:rPr>
                <w:rFonts w:hint="eastAsia" w:ascii="宋体" w:hAnsi="宋体" w:eastAsia="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4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其他处理</w:t>
            </w:r>
          </w:p>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内容</w:t>
            </w:r>
          </w:p>
        </w:tc>
        <w:tc>
          <w:tcPr>
            <w:tcW w:w="7995" w:type="dxa"/>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textAlignment w:val="auto"/>
              <w:outlineLvl w:val="9"/>
              <w:rPr>
                <w:rFonts w:ascii="宋体" w:hAnsi="宋体" w:eastAsia="宋体"/>
                <w:sz w:val="24"/>
                <w:szCs w:val="24"/>
              </w:rPr>
            </w:pPr>
            <w:r>
              <w:rPr>
                <w:rFonts w:hint="eastAsia" w:ascii="宋体" w:hAnsi="宋体" w:eastAsia="宋体"/>
                <w:sz w:val="24"/>
                <w:szCs w:val="24"/>
              </w:rPr>
              <w:t xml:space="preserve"> </w:t>
            </w:r>
            <w:r>
              <w:rPr>
                <w:rFonts w:hint="eastAsia" w:ascii="MS Gothic" w:hAnsi="MS Gothic" w:eastAsia="MS Gothic"/>
                <w:sz w:val="24"/>
                <w:szCs w:val="24"/>
              </w:rPr>
              <w:t>☐</w:t>
            </w:r>
            <w:r>
              <w:rPr>
                <w:rFonts w:hint="eastAsia" w:ascii="宋体" w:hAnsi="宋体" w:eastAsia="宋体"/>
                <w:sz w:val="24"/>
                <w:szCs w:val="24"/>
              </w:rPr>
              <w:t>列入经营异常名录</w:t>
            </w:r>
            <w:r>
              <w:rPr>
                <w:rFonts w:ascii="宋体" w:hAnsi="宋体" w:eastAsia="宋体"/>
                <w:sz w:val="24"/>
                <w:szCs w:val="24"/>
              </w:rPr>
              <w:t xml:space="preserve"> </w:t>
            </w:r>
            <w:r>
              <w:rPr>
                <w:rFonts w:hint="eastAsia" w:ascii="MS Gothic" w:hAnsi="MS Gothic" w:eastAsia="MS Gothic"/>
                <w:sz w:val="24"/>
                <w:szCs w:val="24"/>
              </w:rPr>
              <w:t>☐</w:t>
            </w:r>
            <w:r>
              <w:rPr>
                <w:rFonts w:hint="eastAsia" w:ascii="宋体" w:hAnsi="宋体" w:eastAsia="宋体"/>
                <w:sz w:val="24"/>
                <w:szCs w:val="24"/>
              </w:rPr>
              <w:t xml:space="preserve">另案处理 </w:t>
            </w:r>
            <w:r>
              <w:rPr>
                <w:rFonts w:hint="eastAsia" w:ascii="MS Gothic" w:hAnsi="MS Gothic" w:eastAsia="MS Gothic"/>
                <w:sz w:val="24"/>
                <w:szCs w:val="24"/>
              </w:rPr>
              <w:t>☐</w:t>
            </w:r>
            <w:r>
              <w:rPr>
                <w:rFonts w:hint="eastAsia" w:ascii="宋体" w:hAnsi="宋体" w:eastAsia="宋体"/>
                <w:sz w:val="24"/>
                <w:szCs w:val="24"/>
              </w:rPr>
              <w:t>约谈</w:t>
            </w:r>
            <w:r>
              <w:rPr>
                <w:rFonts w:ascii="宋体" w:hAnsi="宋体" w:eastAsia="宋体"/>
                <w:sz w:val="24"/>
                <w:szCs w:val="24"/>
              </w:rPr>
              <w:t xml:space="preserve"> </w:t>
            </w:r>
            <w:r>
              <w:rPr>
                <w:rFonts w:hint="eastAsia" w:ascii="MS Gothic" w:hAnsi="MS Gothic" w:eastAsia="MS Gothic"/>
                <w:sz w:val="24"/>
                <w:szCs w:val="24"/>
              </w:rPr>
              <w:t>☐</w:t>
            </w:r>
            <w:r>
              <w:rPr>
                <w:rFonts w:hint="eastAsia" w:ascii="宋体" w:hAnsi="宋体" w:eastAsia="宋体"/>
                <w:sz w:val="24"/>
                <w:szCs w:val="24"/>
              </w:rPr>
              <w:t xml:space="preserve">其他： </w:t>
            </w:r>
            <w:r>
              <w:rPr>
                <w:rFonts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24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案件移送</w:t>
            </w:r>
          </w:p>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公安机关</w:t>
            </w:r>
          </w:p>
        </w:tc>
        <w:tc>
          <w:tcPr>
            <w:tcW w:w="3870"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textAlignment w:val="auto"/>
              <w:outlineLvl w:val="9"/>
              <w:rPr>
                <w:rFonts w:ascii="宋体" w:hAnsi="宋体" w:eastAsia="宋体"/>
                <w:sz w:val="24"/>
                <w:szCs w:val="24"/>
              </w:rPr>
            </w:pPr>
            <w:r>
              <w:rPr>
                <w:rFonts w:hint="eastAsia" w:ascii="MS Gothic" w:hAnsi="MS Gothic" w:eastAsia="MS Gothic"/>
                <w:sz w:val="24"/>
                <w:szCs w:val="24"/>
              </w:rPr>
              <w:t>☐</w:t>
            </w:r>
            <w:r>
              <w:rPr>
                <w:rFonts w:hint="eastAsia" w:ascii="宋体" w:hAnsi="宋体" w:eastAsia="宋体"/>
                <w:sz w:val="24"/>
                <w:szCs w:val="24"/>
              </w:rPr>
              <w:t xml:space="preserve">是 </w:t>
            </w:r>
            <w:r>
              <w:rPr>
                <w:rFonts w:ascii="宋体" w:hAnsi="宋体" w:eastAsia="宋体"/>
                <w:sz w:val="24"/>
                <w:szCs w:val="24"/>
              </w:rPr>
              <w:t xml:space="preserve"> </w:t>
            </w:r>
            <w:r>
              <w:rPr>
                <w:rFonts w:hint="eastAsia" w:ascii="MS Gothic" w:hAnsi="MS Gothic" w:eastAsia="MS Gothic"/>
                <w:sz w:val="24"/>
                <w:szCs w:val="24"/>
              </w:rPr>
              <w:t>☐</w:t>
            </w:r>
            <w:r>
              <w:rPr>
                <w:rFonts w:hint="eastAsia" w:ascii="宋体" w:hAnsi="宋体" w:eastAsia="宋体"/>
                <w:sz w:val="24"/>
                <w:szCs w:val="24"/>
              </w:rPr>
              <w:t>否</w:t>
            </w:r>
          </w:p>
        </w:tc>
        <w:tc>
          <w:tcPr>
            <w:tcW w:w="11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移送时间</w:t>
            </w:r>
          </w:p>
        </w:tc>
        <w:tc>
          <w:tcPr>
            <w:tcW w:w="298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right"/>
              <w:textAlignment w:val="auto"/>
              <w:outlineLvl w:val="9"/>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4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通报情况</w:t>
            </w:r>
          </w:p>
        </w:tc>
        <w:tc>
          <w:tcPr>
            <w:tcW w:w="3870"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textAlignment w:val="auto"/>
              <w:outlineLvl w:val="9"/>
              <w:rPr>
                <w:rFonts w:ascii="宋体" w:hAnsi="宋体" w:eastAsia="宋体"/>
                <w:sz w:val="24"/>
                <w:szCs w:val="24"/>
              </w:rPr>
            </w:pPr>
            <w:r>
              <w:rPr>
                <w:rFonts w:hint="eastAsia" w:ascii="MS Gothic" w:hAnsi="MS Gothic" w:eastAsia="MS Gothic"/>
                <w:sz w:val="24"/>
                <w:szCs w:val="24"/>
              </w:rPr>
              <w:t>☐</w:t>
            </w:r>
            <w:r>
              <w:rPr>
                <w:rFonts w:hint="eastAsia" w:ascii="宋体" w:hAnsi="宋体" w:eastAsia="宋体"/>
                <w:sz w:val="24"/>
                <w:szCs w:val="24"/>
              </w:rPr>
              <w:t xml:space="preserve">未通报 </w:t>
            </w:r>
            <w:r>
              <w:rPr>
                <w:rFonts w:hint="eastAsia" w:ascii="MS Gothic" w:hAnsi="MS Gothic" w:eastAsia="MS Gothic"/>
                <w:sz w:val="24"/>
                <w:szCs w:val="24"/>
              </w:rPr>
              <w:t>☐</w:t>
            </w:r>
            <w:r>
              <w:rPr>
                <w:rFonts w:hint="eastAsia" w:ascii="宋体" w:hAnsi="宋体" w:eastAsia="宋体"/>
                <w:sz w:val="24"/>
                <w:szCs w:val="24"/>
              </w:rPr>
              <w:t xml:space="preserve">通报部门： </w:t>
            </w:r>
            <w:r>
              <w:rPr>
                <w:rFonts w:ascii="宋体" w:hAnsi="宋体" w:eastAsia="宋体"/>
                <w:sz w:val="24"/>
                <w:szCs w:val="24"/>
              </w:rPr>
              <w:t xml:space="preserve">                  </w:t>
            </w:r>
          </w:p>
        </w:tc>
        <w:tc>
          <w:tcPr>
            <w:tcW w:w="11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通报时间</w:t>
            </w:r>
          </w:p>
        </w:tc>
        <w:tc>
          <w:tcPr>
            <w:tcW w:w="298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right"/>
              <w:textAlignment w:val="auto"/>
              <w:outlineLvl w:val="9"/>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10" w:hRule="atLeast"/>
          <w:jc w:val="center"/>
        </w:trPr>
        <w:tc>
          <w:tcPr>
            <w:tcW w:w="124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案情摘要</w:t>
            </w:r>
          </w:p>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ascii="宋体" w:hAnsi="宋体" w:eastAsia="宋体"/>
                <w:sz w:val="24"/>
                <w:szCs w:val="24"/>
              </w:rPr>
            </w:pPr>
            <w:r>
              <w:rPr>
                <w:rFonts w:hint="eastAsia" w:ascii="黑体" w:hAnsi="黑体" w:eastAsia="黑体"/>
                <w:sz w:val="24"/>
                <w:szCs w:val="24"/>
              </w:rPr>
              <w:t>（线索核查情况；调查经过、违法事实、处理结果；产生的效果和社会影响等）</w:t>
            </w:r>
          </w:p>
        </w:tc>
        <w:tc>
          <w:tcPr>
            <w:tcW w:w="7995" w:type="dxa"/>
            <w:gridSpan w:val="5"/>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黑体" w:hAnsi="黑体" w:eastAsia="黑体"/>
                <w:sz w:val="24"/>
                <w:szCs w:val="24"/>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ascii="宋体" w:hAnsi="宋体" w:eastAsia="宋体"/>
                <w:szCs w:val="21"/>
              </w:rPr>
            </w:pPr>
            <w:r>
              <w:rPr>
                <w:rFonts w:hint="eastAsia" w:ascii="黑体" w:hAnsi="黑体" w:eastAsia="黑体"/>
                <w:sz w:val="24"/>
                <w:szCs w:val="24"/>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jc w:val="center"/>
        </w:trPr>
        <w:tc>
          <w:tcPr>
            <w:tcW w:w="124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是否</w:t>
            </w:r>
          </w:p>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已公开</w:t>
            </w:r>
          </w:p>
        </w:tc>
        <w:tc>
          <w:tcPr>
            <w:tcW w:w="7995" w:type="dxa"/>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textAlignment w:val="auto"/>
              <w:outlineLvl w:val="9"/>
              <w:rPr>
                <w:rFonts w:ascii="宋体" w:hAnsi="宋体" w:eastAsia="宋体"/>
                <w:sz w:val="24"/>
                <w:szCs w:val="24"/>
              </w:rPr>
            </w:pPr>
            <w:r>
              <w:rPr>
                <w:rFonts w:hint="eastAsia" w:ascii="MS Gothic" w:hAnsi="MS Gothic" w:eastAsia="MS Gothic"/>
                <w:sz w:val="24"/>
                <w:szCs w:val="24"/>
              </w:rPr>
              <w:t>☐</w:t>
            </w:r>
            <w:r>
              <w:rPr>
                <w:rFonts w:hint="eastAsia" w:ascii="宋体" w:hAnsi="宋体" w:eastAsia="宋体"/>
                <w:sz w:val="24"/>
                <w:szCs w:val="24"/>
              </w:rPr>
              <w:t>是</w:t>
            </w:r>
            <w:r>
              <w:rPr>
                <w:rFonts w:ascii="宋体" w:hAnsi="宋体" w:eastAsia="宋体"/>
                <w:sz w:val="24"/>
                <w:szCs w:val="24"/>
              </w:rPr>
              <w:t xml:space="preserve"> </w:t>
            </w:r>
            <w:r>
              <w:rPr>
                <w:rFonts w:hint="eastAsia" w:ascii="MS Gothic" w:hAnsi="MS Gothic" w:eastAsia="MS Gothic"/>
                <w:sz w:val="24"/>
                <w:szCs w:val="24"/>
              </w:rPr>
              <w:t>☐</w:t>
            </w: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47"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黑体" w:hAnsi="黑体" w:eastAsia="黑体"/>
                <w:sz w:val="24"/>
                <w:szCs w:val="24"/>
              </w:rPr>
            </w:pPr>
            <w:r>
              <w:rPr>
                <w:rFonts w:hint="eastAsia" w:ascii="黑体" w:hAnsi="黑体" w:eastAsia="黑体"/>
                <w:sz w:val="24"/>
                <w:szCs w:val="24"/>
              </w:rPr>
              <w:t>承办部门</w:t>
            </w:r>
          </w:p>
        </w:tc>
        <w:tc>
          <w:tcPr>
            <w:tcW w:w="3870"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textAlignment w:val="auto"/>
              <w:outlineLvl w:val="9"/>
              <w:rPr>
                <w:rFonts w:ascii="宋体" w:hAnsi="宋体" w:eastAsia="宋体"/>
                <w:sz w:val="24"/>
                <w:szCs w:val="24"/>
              </w:rPr>
            </w:pPr>
          </w:p>
        </w:tc>
        <w:tc>
          <w:tcPr>
            <w:tcW w:w="11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宋体" w:hAnsi="宋体" w:eastAsia="宋体"/>
                <w:sz w:val="24"/>
                <w:szCs w:val="24"/>
              </w:rPr>
            </w:pPr>
            <w:r>
              <w:rPr>
                <w:rFonts w:hint="eastAsia" w:ascii="黑体" w:hAnsi="黑体" w:eastAsia="黑体"/>
                <w:sz w:val="24"/>
                <w:szCs w:val="24"/>
              </w:rPr>
              <w:t>联系人（电话）</w:t>
            </w:r>
          </w:p>
        </w:tc>
        <w:tc>
          <w:tcPr>
            <w:tcW w:w="298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left="0" w:leftChars="0" w:right="0" w:rightChars="0" w:firstLine="0" w:firstLineChars="0"/>
              <w:textAlignment w:val="auto"/>
              <w:outlineLvl w:val="9"/>
              <w:rPr>
                <w:rFonts w:ascii="宋体" w:hAnsi="宋体" w:eastAsia="宋体"/>
                <w:sz w:val="24"/>
                <w:szCs w:val="24"/>
              </w:rPr>
            </w:pPr>
          </w:p>
        </w:tc>
      </w:tr>
    </w:tbl>
    <w:p>
      <w:pPr>
        <w:pStyle w:val="9"/>
        <w:keepNext w:val="0"/>
        <w:keepLines w:val="0"/>
        <w:pageBreakBefore w:val="0"/>
        <w:numPr>
          <w:ilvl w:val="0"/>
          <w:numId w:val="0"/>
        </w:numPr>
        <w:kinsoku/>
        <w:wordWrap/>
        <w:overflowPunct/>
        <w:topLinePunct w:val="0"/>
        <w:bidi w:val="0"/>
        <w:spacing w:line="570" w:lineRule="exact"/>
        <w:ind w:right="0" w:right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2022民生领域案件查办“铁拳”行动</w:t>
      </w:r>
    </w:p>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sz w:val="36"/>
          <w:szCs w:val="36"/>
        </w:rPr>
      </w:pPr>
      <w:r>
        <w:rPr>
          <w:rFonts w:hint="eastAsia" w:ascii="Times New Roman" w:hAnsi="Times New Roman" w:eastAsia="方正小标宋简体" w:cs="方正小标宋简体"/>
          <w:sz w:val="36"/>
          <w:szCs w:val="36"/>
        </w:rPr>
        <w:t>重点案件查办情况表</w:t>
      </w:r>
    </w:p>
    <w:p>
      <w:pPr>
        <w:keepNext w:val="0"/>
        <w:keepLines w:val="0"/>
        <w:pageBreakBefore w:val="0"/>
        <w:shd w:val="clear" w:color="auto" w:fill="auto"/>
        <w:kinsoku/>
        <w:wordWrap/>
        <w:overflowPunct/>
        <w:topLinePunct w:val="0"/>
        <w:bidi w:val="0"/>
        <w:spacing w:line="570" w:lineRule="exact"/>
        <w:ind w:right="0" w:rightChars="0"/>
        <w:jc w:val="right"/>
        <w:rPr>
          <w:rFonts w:hint="eastAsia" w:ascii="黑体" w:hAnsi="黑体" w:eastAsia="黑体" w:cs="黑体"/>
          <w:sz w:val="28"/>
          <w:szCs w:val="28"/>
          <w:lang w:eastAsia="zh-CN"/>
        </w:rPr>
      </w:pPr>
      <w:r>
        <w:rPr>
          <w:rFonts w:hint="eastAsia" w:ascii="黑体" w:hAnsi="黑体" w:eastAsia="黑体" w:cs="黑体"/>
          <w:sz w:val="28"/>
          <w:szCs w:val="28"/>
        </w:rPr>
        <w:t>单位：</w:t>
      </w:r>
      <w:r>
        <w:rPr>
          <w:rFonts w:hint="eastAsia" w:ascii="黑体" w:hAnsi="黑体" w:eastAsia="黑体" w:cs="黑体"/>
          <w:sz w:val="28"/>
          <w:szCs w:val="28"/>
          <w:u w:val="single"/>
        </w:rPr>
        <w:t xml:space="preserve">      </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lang w:val="en-US" w:eastAsia="zh-CN"/>
        </w:rPr>
        <w:t xml:space="preserve">             统计时间： 年  月</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日至   年  月  日</w:t>
      </w:r>
    </w:p>
    <w:tbl>
      <w:tblPr>
        <w:tblStyle w:val="7"/>
        <w:tblW w:w="9244" w:type="dxa"/>
        <w:jc w:val="center"/>
        <w:tblLayout w:type="fixed"/>
        <w:tblCellMar>
          <w:top w:w="0" w:type="dxa"/>
          <w:left w:w="108" w:type="dxa"/>
          <w:bottom w:w="0" w:type="dxa"/>
          <w:right w:w="108" w:type="dxa"/>
        </w:tblCellMar>
      </w:tblPr>
      <w:tblGrid>
        <w:gridCol w:w="530"/>
        <w:gridCol w:w="3269"/>
        <w:gridCol w:w="885"/>
        <w:gridCol w:w="990"/>
        <w:gridCol w:w="1056"/>
        <w:gridCol w:w="1230"/>
        <w:gridCol w:w="1284"/>
      </w:tblGrid>
      <w:tr>
        <w:tblPrEx>
          <w:tblCellMar>
            <w:top w:w="0" w:type="dxa"/>
            <w:left w:w="108" w:type="dxa"/>
            <w:bottom w:w="0" w:type="dxa"/>
            <w:right w:w="108" w:type="dxa"/>
          </w:tblCellMar>
        </w:tblPrEx>
        <w:trPr>
          <w:trHeight w:val="856" w:hRule="atLeast"/>
          <w:jc w:val="center"/>
        </w:trPr>
        <w:tc>
          <w:tcPr>
            <w:tcW w:w="5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326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案件类型</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宋体" w:eastAsia="黑体" w:cs="黑体"/>
                <w:color w:val="000000"/>
                <w:sz w:val="24"/>
                <w:szCs w:val="24"/>
                <w:lang w:eastAsia="zh-CN"/>
              </w:rPr>
            </w:pPr>
            <w:r>
              <w:rPr>
                <w:rFonts w:hint="eastAsia" w:ascii="黑体" w:hAnsi="宋体" w:eastAsia="黑体" w:cs="黑体"/>
                <w:color w:val="000000"/>
                <w:kern w:val="0"/>
                <w:sz w:val="24"/>
                <w:szCs w:val="24"/>
                <w:lang w:bidi="ar"/>
              </w:rPr>
              <w:t>案件</w:t>
            </w:r>
            <w:r>
              <w:rPr>
                <w:rFonts w:hint="eastAsia" w:ascii="黑体" w:hAnsi="宋体" w:eastAsia="黑体" w:cs="黑体"/>
                <w:color w:val="000000"/>
                <w:kern w:val="0"/>
                <w:sz w:val="24"/>
                <w:szCs w:val="24"/>
                <w:lang w:val="en-US" w:eastAsia="zh-CN" w:bidi="ar"/>
              </w:rPr>
              <w:t xml:space="preserve"> </w:t>
            </w:r>
            <w:r>
              <w:rPr>
                <w:rFonts w:hint="eastAsia" w:ascii="黑体" w:hAnsi="宋体" w:eastAsia="黑体" w:cs="黑体"/>
                <w:color w:val="000000"/>
                <w:kern w:val="0"/>
                <w:sz w:val="24"/>
                <w:szCs w:val="24"/>
                <w:lang w:bidi="ar"/>
              </w:rPr>
              <w:t>数量</w:t>
            </w:r>
            <w:r>
              <w:rPr>
                <w:rFonts w:hint="eastAsia" w:ascii="黑体" w:hAnsi="宋体" w:eastAsia="黑体" w:cs="黑体"/>
                <w:color w:val="000000"/>
                <w:kern w:val="0"/>
                <w:sz w:val="24"/>
                <w:szCs w:val="24"/>
                <w:lang w:val="en-US" w:eastAsia="zh-CN" w:bidi="ar"/>
              </w:rPr>
              <w:t xml:space="preserve"> </w:t>
            </w:r>
            <w:r>
              <w:rPr>
                <w:rFonts w:hint="eastAsia" w:ascii="黑体" w:hAnsi="宋体" w:eastAsia="黑体" w:cs="黑体"/>
                <w:color w:val="000000"/>
                <w:kern w:val="0"/>
                <w:sz w:val="24"/>
                <w:szCs w:val="24"/>
                <w:lang w:eastAsia="zh-CN" w:bidi="ar"/>
              </w:rPr>
              <w:t>（件）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宋体" w:eastAsia="黑体" w:cs="黑体"/>
                <w:color w:val="000000"/>
                <w:sz w:val="24"/>
                <w:szCs w:val="24"/>
              </w:rPr>
            </w:pPr>
            <w:r>
              <w:rPr>
                <w:rFonts w:hint="eastAsia" w:ascii="黑体" w:hAnsi="宋体" w:eastAsia="黑体" w:cs="黑体"/>
                <w:i w:val="0"/>
                <w:color w:val="000000"/>
                <w:kern w:val="0"/>
                <w:sz w:val="24"/>
                <w:szCs w:val="24"/>
                <w:u w:val="none"/>
                <w:lang w:val="en-US" w:eastAsia="zh-CN" w:bidi="ar"/>
              </w:rPr>
              <w:t>涉案货值（万元)</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宋体" w:eastAsia="黑体" w:cs="黑体"/>
                <w:color w:val="000000"/>
                <w:sz w:val="24"/>
                <w:szCs w:val="24"/>
              </w:rPr>
            </w:pPr>
            <w:r>
              <w:rPr>
                <w:rFonts w:hint="eastAsia" w:ascii="黑体" w:hAnsi="宋体" w:eastAsia="黑体" w:cs="黑体"/>
                <w:i w:val="0"/>
                <w:color w:val="000000"/>
                <w:kern w:val="0"/>
                <w:sz w:val="24"/>
                <w:szCs w:val="24"/>
                <w:u w:val="none"/>
                <w:lang w:val="en-US" w:eastAsia="zh-CN" w:bidi="ar"/>
              </w:rPr>
              <w:t>罚没金额(万元）</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移送公安机关数量</w:t>
            </w:r>
            <w:r>
              <w:rPr>
                <w:rFonts w:hint="eastAsia" w:ascii="黑体" w:hAnsi="宋体" w:eastAsia="黑体" w:cs="黑体"/>
                <w:color w:val="000000"/>
                <w:kern w:val="0"/>
                <w:sz w:val="24"/>
                <w:szCs w:val="24"/>
                <w:lang w:eastAsia="zh-CN" w:bidi="ar"/>
              </w:rPr>
              <w:t>（件）</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有影响力的典型案件</w:t>
            </w:r>
          </w:p>
        </w:tc>
      </w:tr>
      <w:tr>
        <w:tblPrEx>
          <w:tblCellMar>
            <w:top w:w="0" w:type="dxa"/>
            <w:left w:w="108" w:type="dxa"/>
            <w:bottom w:w="0" w:type="dxa"/>
            <w:right w:w="108" w:type="dxa"/>
          </w:tblCellMar>
        </w:tblPrEx>
        <w:trPr>
          <w:trHeight w:val="589" w:hRule="atLeast"/>
          <w:jc w:val="center"/>
        </w:trPr>
        <w:tc>
          <w:tcPr>
            <w:tcW w:w="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color w:val="000000"/>
                <w:sz w:val="24"/>
                <w:szCs w:val="24"/>
              </w:rPr>
            </w:pPr>
            <w:r>
              <w:rPr>
                <w:rFonts w:ascii="Times New Roman" w:hAnsi="Times New Roman" w:eastAsia="宋体"/>
                <w:color w:val="000000"/>
                <w:kern w:val="0"/>
                <w:sz w:val="24"/>
                <w:szCs w:val="24"/>
                <w:lang w:bidi="ar"/>
              </w:rPr>
              <w:t>1</w:t>
            </w: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eastAsia="zh-CN"/>
              </w:rPr>
              <w:t>食用油掺杂掺假</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794" w:hRule="atLeast"/>
          <w:jc w:val="center"/>
        </w:trPr>
        <w:tc>
          <w:tcPr>
            <w:tcW w:w="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color w:val="000000"/>
                <w:sz w:val="24"/>
                <w:szCs w:val="24"/>
              </w:rPr>
            </w:pPr>
            <w:r>
              <w:rPr>
                <w:rFonts w:ascii="Times New Roman" w:hAnsi="Times New Roman" w:eastAsia="宋体"/>
                <w:color w:val="000000"/>
                <w:kern w:val="0"/>
                <w:sz w:val="24"/>
                <w:szCs w:val="24"/>
                <w:lang w:bidi="ar"/>
              </w:rPr>
              <w:t>2</w:t>
            </w: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声称减肥、壮阳等食品非法添加</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794" w:hRule="atLeast"/>
          <w:jc w:val="center"/>
        </w:trPr>
        <w:tc>
          <w:tcPr>
            <w:tcW w:w="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color w:val="000000"/>
                <w:sz w:val="24"/>
                <w:szCs w:val="24"/>
              </w:rPr>
            </w:pPr>
            <w:r>
              <w:rPr>
                <w:rFonts w:ascii="Times New Roman" w:hAnsi="Times New Roman" w:eastAsia="宋体"/>
                <w:color w:val="000000"/>
                <w:kern w:val="0"/>
                <w:sz w:val="24"/>
                <w:szCs w:val="24"/>
                <w:lang w:bidi="ar"/>
              </w:rPr>
              <w:t>3</w:t>
            </w: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油品质量违法和加油站计量作弊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622" w:hRule="atLeast"/>
          <w:jc w:val="center"/>
        </w:trPr>
        <w:tc>
          <w:tcPr>
            <w:tcW w:w="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color w:val="000000"/>
                <w:sz w:val="24"/>
                <w:szCs w:val="24"/>
              </w:rPr>
            </w:pPr>
            <w:r>
              <w:rPr>
                <w:rFonts w:ascii="Times New Roman" w:hAnsi="Times New Roman" w:eastAsia="宋体"/>
                <w:color w:val="000000"/>
                <w:kern w:val="0"/>
                <w:sz w:val="24"/>
                <w:szCs w:val="24"/>
                <w:lang w:bidi="ar"/>
              </w:rPr>
              <w:t>4</w:t>
            </w: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“神医”“神药”等虚假</w:t>
            </w:r>
            <w:r>
              <w:rPr>
                <w:rFonts w:hint="eastAsia" w:ascii="仿宋_GB2312" w:hAnsi="仿宋_GB2312" w:eastAsia="仿宋_GB2312" w:cs="仿宋_GB2312"/>
                <w:sz w:val="24"/>
                <w:szCs w:val="24"/>
                <w:lang w:eastAsia="zh-CN"/>
              </w:rPr>
              <w:t>违法</w:t>
            </w:r>
            <w:r>
              <w:rPr>
                <w:rFonts w:hint="eastAsia" w:ascii="仿宋_GB2312" w:hAnsi="仿宋_GB2312" w:eastAsia="仿宋_GB2312" w:cs="仿宋_GB2312"/>
                <w:sz w:val="24"/>
                <w:szCs w:val="24"/>
              </w:rPr>
              <w:t>广告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527" w:hRule="atLeast"/>
          <w:jc w:val="center"/>
        </w:trPr>
        <w:tc>
          <w:tcPr>
            <w:tcW w:w="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color w:val="000000"/>
                <w:sz w:val="24"/>
                <w:szCs w:val="24"/>
              </w:rPr>
            </w:pPr>
            <w:r>
              <w:rPr>
                <w:rFonts w:ascii="Times New Roman" w:hAnsi="Times New Roman" w:eastAsia="宋体"/>
                <w:color w:val="000000"/>
                <w:kern w:val="0"/>
                <w:sz w:val="24"/>
                <w:szCs w:val="24"/>
                <w:lang w:bidi="ar"/>
              </w:rPr>
              <w:t>5</w:t>
            </w: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医疗美容领域</w:t>
            </w:r>
            <w:r>
              <w:rPr>
                <w:rFonts w:hint="eastAsia" w:ascii="仿宋_GB2312" w:hAnsi="仿宋_GB2312" w:eastAsia="仿宋_GB2312" w:cs="仿宋_GB2312"/>
                <w:sz w:val="24"/>
                <w:szCs w:val="24"/>
                <w:lang w:eastAsia="zh-CN"/>
              </w:rPr>
              <w:t>虚假宣传</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516" w:hRule="atLeast"/>
          <w:jc w:val="center"/>
        </w:trPr>
        <w:tc>
          <w:tcPr>
            <w:tcW w:w="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color w:val="000000"/>
                <w:sz w:val="24"/>
                <w:szCs w:val="24"/>
              </w:rPr>
            </w:pPr>
            <w:r>
              <w:rPr>
                <w:rFonts w:ascii="Times New Roman" w:hAnsi="Times New Roman" w:eastAsia="宋体"/>
                <w:color w:val="000000"/>
                <w:kern w:val="0"/>
                <w:sz w:val="24"/>
                <w:szCs w:val="24"/>
                <w:lang w:bidi="ar"/>
              </w:rPr>
              <w:t>6</w:t>
            </w: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翻新“黑气瓶”</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451" w:hRule="atLeast"/>
          <w:jc w:val="center"/>
        </w:trPr>
        <w:tc>
          <w:tcPr>
            <w:tcW w:w="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color w:val="000000"/>
                <w:sz w:val="24"/>
                <w:szCs w:val="24"/>
              </w:rPr>
            </w:pPr>
            <w:r>
              <w:rPr>
                <w:rFonts w:ascii="Times New Roman" w:hAnsi="Times New Roman" w:eastAsia="宋体"/>
                <w:color w:val="000000"/>
                <w:kern w:val="0"/>
                <w:sz w:val="24"/>
                <w:szCs w:val="24"/>
                <w:lang w:bidi="ar"/>
              </w:rPr>
              <w:t>7</w:t>
            </w: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劣质燃气具</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536" w:hRule="atLeast"/>
          <w:jc w:val="center"/>
        </w:trPr>
        <w:tc>
          <w:tcPr>
            <w:tcW w:w="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color w:val="000000"/>
                <w:sz w:val="24"/>
                <w:szCs w:val="24"/>
              </w:rPr>
            </w:pPr>
            <w:r>
              <w:rPr>
                <w:rFonts w:ascii="Times New Roman" w:hAnsi="Times New Roman" w:eastAsia="宋体"/>
                <w:color w:val="000000"/>
                <w:kern w:val="0"/>
                <w:sz w:val="24"/>
                <w:szCs w:val="24"/>
                <w:lang w:bidi="ar"/>
              </w:rPr>
              <w:t>8</w:t>
            </w: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超期未检电梯</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794" w:hRule="atLeast"/>
          <w:jc w:val="center"/>
        </w:trPr>
        <w:tc>
          <w:tcPr>
            <w:tcW w:w="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eastAsia="宋体"/>
                <w:color w:val="000000"/>
                <w:kern w:val="0"/>
                <w:sz w:val="24"/>
                <w:szCs w:val="24"/>
                <w:lang w:val="en-US" w:eastAsia="zh-CN" w:bidi="ar"/>
              </w:rPr>
            </w:pPr>
            <w:r>
              <w:rPr>
                <w:rFonts w:hint="eastAsia" w:ascii="Times New Roman" w:hAnsi="Times New Roman" w:eastAsia="宋体"/>
                <w:color w:val="000000"/>
                <w:kern w:val="0"/>
                <w:sz w:val="24"/>
                <w:szCs w:val="24"/>
                <w:lang w:val="en-US" w:eastAsia="zh-CN" w:bidi="ar"/>
              </w:rPr>
              <w:t>9</w:t>
            </w: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面向未成年人开展“无底线营销”</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634" w:hRule="atLeast"/>
          <w:jc w:val="center"/>
        </w:trPr>
        <w:tc>
          <w:tcPr>
            <w:tcW w:w="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olor w:val="000000"/>
                <w:sz w:val="24"/>
                <w:szCs w:val="24"/>
                <w:lang w:val="en-US" w:eastAsia="zh-CN"/>
              </w:rPr>
            </w:pPr>
            <w:r>
              <w:rPr>
                <w:rFonts w:hint="eastAsia" w:ascii="Times New Roman" w:hAnsi="Times New Roman" w:eastAsia="宋体"/>
                <w:color w:val="000000"/>
                <w:sz w:val="24"/>
                <w:szCs w:val="24"/>
                <w:lang w:val="en-US" w:eastAsia="zh-CN"/>
              </w:rPr>
              <w:t>10</w:t>
            </w: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生产销售劣质钢筋、电线电缆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579" w:hRule="atLeast"/>
          <w:jc w:val="center"/>
        </w:trPr>
        <w:tc>
          <w:tcPr>
            <w:tcW w:w="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olor w:val="000000"/>
                <w:sz w:val="24"/>
                <w:szCs w:val="24"/>
                <w:lang w:val="en-US" w:eastAsia="zh-CN"/>
              </w:rPr>
            </w:pPr>
            <w:r>
              <w:rPr>
                <w:rFonts w:hint="eastAsia" w:ascii="Times New Roman" w:hAnsi="Times New Roman" w:eastAsia="宋体"/>
                <w:color w:val="000000"/>
                <w:sz w:val="24"/>
                <w:szCs w:val="24"/>
                <w:lang w:val="en-US" w:eastAsia="zh-CN"/>
              </w:rPr>
              <w:t>11</w:t>
            </w: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房地产虚假违法广告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806" w:hRule="atLeast"/>
          <w:jc w:val="center"/>
        </w:trPr>
        <w:tc>
          <w:tcPr>
            <w:tcW w:w="53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olor w:val="000000"/>
                <w:sz w:val="24"/>
                <w:szCs w:val="24"/>
                <w:lang w:val="en-US" w:eastAsia="zh-CN"/>
              </w:rPr>
            </w:pPr>
            <w:r>
              <w:rPr>
                <w:rFonts w:hint="eastAsia" w:ascii="Times New Roman" w:hAnsi="Times New Roman" w:eastAsia="宋体"/>
                <w:color w:val="000000"/>
                <w:sz w:val="24"/>
                <w:szCs w:val="24"/>
                <w:lang w:val="en-US" w:eastAsia="zh-CN"/>
              </w:rPr>
              <w:t>12</w:t>
            </w:r>
          </w:p>
        </w:tc>
        <w:tc>
          <w:tcPr>
            <w:tcW w:w="326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超市、医疗卫生机构、粮食购销等领域计量违法</w:t>
            </w:r>
          </w:p>
        </w:tc>
        <w:tc>
          <w:tcPr>
            <w:tcW w:w="8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9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05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3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8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505" w:hRule="atLeast"/>
          <w:jc w:val="center"/>
        </w:trPr>
        <w:tc>
          <w:tcPr>
            <w:tcW w:w="53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olor w:val="000000"/>
                <w:sz w:val="24"/>
                <w:szCs w:val="24"/>
                <w:lang w:val="en-US" w:eastAsia="zh-CN"/>
              </w:rPr>
            </w:pPr>
            <w:r>
              <w:rPr>
                <w:rFonts w:hint="eastAsia" w:ascii="Times New Roman" w:eastAsia="宋体"/>
                <w:color w:val="000000"/>
                <w:sz w:val="24"/>
                <w:szCs w:val="24"/>
                <w:lang w:val="en-US" w:eastAsia="zh-CN"/>
              </w:rPr>
              <w:t>13</w:t>
            </w:r>
          </w:p>
        </w:tc>
        <w:tc>
          <w:tcPr>
            <w:tcW w:w="326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生产销售</w:t>
            </w:r>
            <w:r>
              <w:rPr>
                <w:rFonts w:hint="eastAsia" w:hAnsi="仿宋_GB2312" w:cs="仿宋_GB2312"/>
                <w:sz w:val="24"/>
                <w:szCs w:val="24"/>
                <w:lang w:val="en-US" w:eastAsia="zh-CN"/>
              </w:rPr>
              <w:t>不合格水泥</w:t>
            </w:r>
          </w:p>
        </w:tc>
        <w:tc>
          <w:tcPr>
            <w:tcW w:w="88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99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05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3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8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520" w:hRule="atLeast"/>
          <w:jc w:val="center"/>
        </w:trPr>
        <w:tc>
          <w:tcPr>
            <w:tcW w:w="5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olor w:val="000000"/>
                <w:sz w:val="24"/>
                <w:szCs w:val="24"/>
                <w:lang w:val="en-US" w:eastAsia="zh-CN"/>
              </w:rPr>
            </w:pPr>
            <w:r>
              <w:rPr>
                <w:rFonts w:hint="eastAsia" w:ascii="Times New Roman" w:eastAsia="宋体"/>
                <w:color w:val="000000"/>
                <w:sz w:val="24"/>
                <w:szCs w:val="24"/>
                <w:lang w:val="en-US" w:eastAsia="zh-CN"/>
              </w:rPr>
              <w:t>14</w:t>
            </w:r>
          </w:p>
        </w:tc>
        <w:tc>
          <w:tcPr>
            <w:tcW w:w="326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生产销售</w:t>
            </w:r>
            <w:r>
              <w:rPr>
                <w:rFonts w:hint="eastAsia" w:hAnsi="仿宋_GB2312" w:cs="仿宋_GB2312"/>
                <w:sz w:val="24"/>
                <w:szCs w:val="24"/>
                <w:lang w:val="en-US" w:eastAsia="zh-CN"/>
              </w:rPr>
              <w:t>不合格童车童床</w:t>
            </w:r>
          </w:p>
        </w:tc>
        <w:tc>
          <w:tcPr>
            <w:tcW w:w="8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05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8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475" w:hRule="atLeast"/>
          <w:jc w:val="center"/>
        </w:trPr>
        <w:tc>
          <w:tcPr>
            <w:tcW w:w="37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合计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宋体" w:cs="仿宋_GB2312"/>
                <w:color w:val="000000"/>
                <w:sz w:val="24"/>
                <w:szCs w:val="24"/>
              </w:rPr>
            </w:pPr>
          </w:p>
        </w:tc>
      </w:tr>
    </w:tbl>
    <w:p>
      <w:pPr>
        <w:keepNext w:val="0"/>
        <w:keepLines w:val="0"/>
        <w:pageBreakBefore w:val="0"/>
        <w:widowControl w:val="0"/>
        <w:shd w:val="clear" w:color="auto" w:fill="auto"/>
        <w:kinsoku/>
        <w:wordWrap/>
        <w:overflowPunct/>
        <w:topLinePunct w:val="0"/>
        <w:autoSpaceDE/>
        <w:autoSpaceDN/>
        <w:bidi w:val="0"/>
        <w:adjustRightInd/>
        <w:snapToGrid/>
        <w:spacing w:line="410" w:lineRule="exact"/>
        <w:ind w:left="0" w:right="0" w:rightChars="0" w:hanging="840" w:hangingChars="3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说明：“有影响力的典型案件”请按照格式：××（单位）查处××（当事人）××（案由）案，填写案件名称。</w:t>
      </w:r>
    </w:p>
    <w:p>
      <w:pPr>
        <w:keepNext w:val="0"/>
        <w:keepLines w:val="0"/>
        <w:pageBreakBefore w:val="0"/>
        <w:kinsoku/>
        <w:wordWrap/>
        <w:overflowPunct/>
        <w:topLinePunct w:val="0"/>
        <w:bidi w:val="0"/>
        <w:spacing w:line="570" w:lineRule="exact"/>
        <w:ind w:right="0" w:rightChars="0"/>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2022民生领域案件查办“铁拳”行动</w:t>
      </w:r>
    </w:p>
    <w:p>
      <w:pPr>
        <w:keepNext w:val="0"/>
        <w:keepLines w:val="0"/>
        <w:pageBreakBefore w:val="0"/>
        <w:shd w:val="clear" w:color="auto" w:fill="auto"/>
        <w:kinsoku/>
        <w:wordWrap/>
        <w:overflowPunct/>
        <w:topLinePunct w:val="0"/>
        <w:bidi w:val="0"/>
        <w:spacing w:line="570" w:lineRule="exact"/>
        <w:ind w:right="0" w:rightChars="0"/>
        <w:jc w:val="center"/>
        <w:rPr>
          <w:rFonts w:hint="eastAsia" w:ascii="Times New Roman" w:hAnsi="Times New Roman" w:cs="仿宋_GB2312"/>
          <w:sz w:val="36"/>
          <w:szCs w:val="36"/>
        </w:rPr>
      </w:pPr>
      <w:r>
        <w:rPr>
          <w:rFonts w:hint="eastAsia" w:ascii="Times New Roman" w:hAnsi="Times New Roman" w:eastAsia="方正小标宋简体" w:cs="方正小标宋简体"/>
          <w:sz w:val="36"/>
          <w:szCs w:val="36"/>
        </w:rPr>
        <w:t>宣传工作开展情况表</w:t>
      </w:r>
    </w:p>
    <w:p>
      <w:pPr>
        <w:keepNext w:val="0"/>
        <w:keepLines w:val="0"/>
        <w:pageBreakBefore w:val="0"/>
        <w:shd w:val="clear" w:color="auto" w:fill="auto"/>
        <w:kinsoku/>
        <w:wordWrap/>
        <w:overflowPunct/>
        <w:topLinePunct w:val="0"/>
        <w:bidi w:val="0"/>
        <w:spacing w:line="570" w:lineRule="exact"/>
        <w:ind w:right="0" w:rightChars="0"/>
        <w:rPr>
          <w:rFonts w:hint="default" w:ascii="黑体" w:hAnsi="黑体" w:eastAsia="黑体" w:cs="黑体"/>
          <w:sz w:val="28"/>
          <w:szCs w:val="44"/>
          <w:lang w:val="en-US" w:eastAsia="zh-CN"/>
        </w:rPr>
      </w:pPr>
      <w:r>
        <w:rPr>
          <w:rFonts w:hint="eastAsia" w:ascii="黑体" w:hAnsi="黑体" w:eastAsia="黑体" w:cs="黑体"/>
          <w:sz w:val="28"/>
          <w:szCs w:val="44"/>
        </w:rPr>
        <w:t>单位：</w:t>
      </w:r>
      <w:r>
        <w:rPr>
          <w:rFonts w:hint="eastAsia" w:ascii="黑体" w:hAnsi="黑体" w:eastAsia="黑体" w:cs="黑体"/>
          <w:sz w:val="28"/>
          <w:szCs w:val="44"/>
          <w:u w:val="single"/>
        </w:rPr>
        <w:t xml:space="preserve">             </w:t>
      </w:r>
      <w:r>
        <w:rPr>
          <w:rFonts w:hint="eastAsia" w:ascii="黑体" w:hAnsi="黑体" w:eastAsia="黑体" w:cs="黑体"/>
          <w:sz w:val="28"/>
          <w:szCs w:val="44"/>
          <w:lang w:val="en-US" w:eastAsia="zh-CN"/>
        </w:rPr>
        <w:t xml:space="preserve">    </w:t>
      </w:r>
    </w:p>
    <w:tbl>
      <w:tblPr>
        <w:tblStyle w:val="7"/>
        <w:tblpPr w:leftFromText="180" w:rightFromText="180" w:vertAnchor="text" w:horzAnchor="page" w:tblpX="1567" w:tblpY="713"/>
        <w:tblOverlap w:val="never"/>
        <w:tblW w:w="8986" w:type="dxa"/>
        <w:tblInd w:w="0" w:type="dxa"/>
        <w:tblLayout w:type="fixed"/>
        <w:tblCellMar>
          <w:top w:w="0" w:type="dxa"/>
          <w:left w:w="108" w:type="dxa"/>
          <w:bottom w:w="0" w:type="dxa"/>
          <w:right w:w="108" w:type="dxa"/>
        </w:tblCellMar>
      </w:tblPr>
      <w:tblGrid>
        <w:gridCol w:w="1035"/>
        <w:gridCol w:w="1988"/>
        <w:gridCol w:w="1410"/>
        <w:gridCol w:w="1916"/>
        <w:gridCol w:w="2637"/>
      </w:tblGrid>
      <w:tr>
        <w:tblPrEx>
          <w:tblCellMar>
            <w:top w:w="0" w:type="dxa"/>
            <w:left w:w="108" w:type="dxa"/>
            <w:bottom w:w="0" w:type="dxa"/>
            <w:right w:w="108" w:type="dxa"/>
          </w:tblCellMar>
        </w:tblPrEx>
        <w:trPr>
          <w:trHeight w:val="960" w:hRule="atLeast"/>
        </w:trPr>
        <w:tc>
          <w:tcPr>
            <w:tcW w:w="103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序号</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宣传工作类型</w:t>
            </w:r>
          </w:p>
        </w:tc>
        <w:tc>
          <w:tcPr>
            <w:tcW w:w="3326"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开展情况</w:t>
            </w:r>
          </w:p>
        </w:tc>
        <w:tc>
          <w:tcPr>
            <w:tcW w:w="263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公众反映和评价</w:t>
            </w:r>
          </w:p>
        </w:tc>
      </w:tr>
      <w:tr>
        <w:tblPrEx>
          <w:tblCellMar>
            <w:top w:w="0" w:type="dxa"/>
            <w:left w:w="108" w:type="dxa"/>
            <w:bottom w:w="0" w:type="dxa"/>
            <w:right w:w="108" w:type="dxa"/>
          </w:tblCellMar>
        </w:tblPrEx>
        <w:trPr>
          <w:trHeight w:val="720" w:hRule="atLeast"/>
        </w:trPr>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曝光典型案例</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曝光批次</w:t>
            </w:r>
          </w:p>
        </w:tc>
        <w:tc>
          <w:tcPr>
            <w:tcW w:w="191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rPr>
                <w:rFonts w:hint="eastAsia" w:ascii="宋体" w:hAnsi="宋体" w:eastAsia="宋体" w:cs="宋体"/>
                <w:color w:val="000000"/>
                <w:sz w:val="22"/>
              </w:rPr>
            </w:pPr>
          </w:p>
        </w:tc>
        <w:tc>
          <w:tcPr>
            <w:tcW w:w="263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rPr>
                <w:rFonts w:hint="eastAsia" w:ascii="宋体" w:hAnsi="宋体" w:eastAsia="宋体" w:cs="宋体"/>
                <w:color w:val="000000"/>
                <w:sz w:val="22"/>
              </w:rPr>
            </w:pPr>
          </w:p>
        </w:tc>
      </w:tr>
      <w:tr>
        <w:tblPrEx>
          <w:tblCellMar>
            <w:top w:w="0" w:type="dxa"/>
            <w:left w:w="108" w:type="dxa"/>
            <w:bottom w:w="0" w:type="dxa"/>
            <w:right w:w="108" w:type="dxa"/>
          </w:tblCellMar>
        </w:tblPrEx>
        <w:trPr>
          <w:trHeight w:val="720"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仿宋_GB2312" w:eastAsia="仿宋_GB2312" w:cs="仿宋_GB2312"/>
                <w:color w:val="000000"/>
                <w:sz w:val="24"/>
                <w:szCs w:val="24"/>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仿宋_GB2312" w:eastAsia="仿宋_GB2312" w:cs="仿宋_GB2312"/>
                <w:color w:val="000000"/>
                <w:sz w:val="24"/>
                <w:szCs w:val="24"/>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曝光数量</w:t>
            </w:r>
          </w:p>
        </w:tc>
        <w:tc>
          <w:tcPr>
            <w:tcW w:w="191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宋体" w:cs="仿宋_GB2312"/>
                <w:color w:val="000000"/>
                <w:sz w:val="24"/>
                <w:szCs w:val="24"/>
              </w:rPr>
            </w:pPr>
          </w:p>
        </w:tc>
        <w:tc>
          <w:tcPr>
            <w:tcW w:w="263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720" w:hRule="atLeast"/>
        </w:trPr>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召开新闻</w:t>
            </w:r>
          </w:p>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bidi="ar"/>
              </w:rPr>
              <w:t>发布会</w:t>
            </w:r>
            <w:r>
              <w:rPr>
                <w:rFonts w:hint="eastAsia" w:hAnsi="仿宋_GB2312" w:cs="仿宋_GB2312"/>
                <w:color w:val="000000"/>
                <w:kern w:val="0"/>
                <w:sz w:val="24"/>
                <w:szCs w:val="24"/>
                <w:lang w:eastAsia="zh-CN" w:bidi="ar"/>
              </w:rPr>
              <w:t>、通气会</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召开次数</w:t>
            </w:r>
          </w:p>
        </w:tc>
        <w:tc>
          <w:tcPr>
            <w:tcW w:w="191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rPr>
                <w:rFonts w:hint="eastAsia" w:ascii="宋体" w:hAnsi="宋体" w:eastAsia="宋体" w:cs="宋体"/>
                <w:color w:val="000000"/>
                <w:sz w:val="22"/>
              </w:rPr>
            </w:pPr>
          </w:p>
        </w:tc>
        <w:tc>
          <w:tcPr>
            <w:tcW w:w="263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rPr>
                <w:rFonts w:hint="eastAsia" w:ascii="宋体" w:hAnsi="宋体" w:eastAsia="宋体" w:cs="宋体"/>
                <w:color w:val="000000"/>
                <w:sz w:val="22"/>
              </w:rPr>
            </w:pPr>
          </w:p>
        </w:tc>
      </w:tr>
      <w:tr>
        <w:tblPrEx>
          <w:tblCellMar>
            <w:top w:w="0" w:type="dxa"/>
            <w:left w:w="108" w:type="dxa"/>
            <w:bottom w:w="0" w:type="dxa"/>
            <w:right w:w="108" w:type="dxa"/>
          </w:tblCellMar>
        </w:tblPrEx>
        <w:trPr>
          <w:trHeight w:val="720"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仿宋_GB2312" w:eastAsia="仿宋_GB2312" w:cs="仿宋_GB2312"/>
                <w:color w:val="000000"/>
                <w:sz w:val="24"/>
                <w:szCs w:val="24"/>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仿宋_GB2312" w:eastAsia="仿宋_GB2312" w:cs="仿宋_GB2312"/>
                <w:color w:val="000000"/>
                <w:sz w:val="24"/>
                <w:szCs w:val="24"/>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召开日期</w:t>
            </w:r>
          </w:p>
        </w:tc>
        <w:tc>
          <w:tcPr>
            <w:tcW w:w="191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宋体" w:cs="仿宋_GB2312"/>
                <w:color w:val="000000"/>
                <w:sz w:val="24"/>
                <w:szCs w:val="24"/>
              </w:rPr>
            </w:pPr>
          </w:p>
        </w:tc>
        <w:tc>
          <w:tcPr>
            <w:tcW w:w="263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1120" w:hRule="atLeast"/>
        </w:trPr>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198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案件深度</w:t>
            </w:r>
          </w:p>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宣传情况</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eastAsia="zh-CN" w:bidi="ar"/>
              </w:rPr>
              <w:t>中央</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kern w:val="0"/>
                <w:sz w:val="24"/>
                <w:szCs w:val="24"/>
                <w:lang w:eastAsia="zh-CN" w:bidi="ar"/>
              </w:rPr>
              <w:t>省级</w:t>
            </w:r>
            <w:r>
              <w:rPr>
                <w:rFonts w:hint="eastAsia" w:ascii="仿宋_GB2312" w:hAnsi="仿宋_GB2312" w:eastAsia="仿宋_GB2312" w:cs="仿宋_GB2312"/>
                <w:color w:val="000000"/>
                <w:kern w:val="0"/>
                <w:sz w:val="24"/>
                <w:szCs w:val="24"/>
                <w:lang w:bidi="ar"/>
              </w:rPr>
              <w:t>媒体</w:t>
            </w:r>
          </w:p>
        </w:tc>
        <w:tc>
          <w:tcPr>
            <w:tcW w:w="191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rPr>
                <w:rFonts w:hint="eastAsia" w:ascii="宋体" w:hAnsi="宋体" w:eastAsia="宋体" w:cs="宋体"/>
                <w:color w:val="000000"/>
                <w:sz w:val="22"/>
              </w:rPr>
            </w:pPr>
          </w:p>
        </w:tc>
        <w:tc>
          <w:tcPr>
            <w:tcW w:w="263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rPr>
                <w:rFonts w:hint="eastAsia" w:ascii="宋体" w:hAnsi="宋体" w:eastAsia="宋体" w:cs="宋体"/>
                <w:color w:val="000000"/>
                <w:sz w:val="22"/>
              </w:rPr>
            </w:pPr>
          </w:p>
        </w:tc>
      </w:tr>
      <w:tr>
        <w:tblPrEx>
          <w:tblCellMar>
            <w:top w:w="0" w:type="dxa"/>
            <w:left w:w="108" w:type="dxa"/>
            <w:bottom w:w="0" w:type="dxa"/>
            <w:right w:w="108" w:type="dxa"/>
          </w:tblCellMar>
        </w:tblPrEx>
        <w:trPr>
          <w:trHeight w:val="880"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仿宋_GB2312" w:eastAsia="仿宋_GB2312" w:cs="仿宋_GB2312"/>
                <w:color w:val="000000"/>
                <w:sz w:val="24"/>
                <w:szCs w:val="24"/>
              </w:rPr>
            </w:pPr>
          </w:p>
        </w:tc>
        <w:tc>
          <w:tcPr>
            <w:tcW w:w="1988" w:type="dxa"/>
            <w:vMerge w:val="continue"/>
            <w:tcBorders>
              <w:left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仿宋_GB2312" w:eastAsia="仿宋_GB2312" w:cs="仿宋_GB2312"/>
                <w:color w:val="000000"/>
                <w:sz w:val="24"/>
                <w:szCs w:val="24"/>
              </w:rPr>
            </w:pPr>
          </w:p>
        </w:tc>
        <w:tc>
          <w:tcPr>
            <w:tcW w:w="14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eastAsia="zh-CN" w:bidi="ar"/>
              </w:rPr>
              <w:t>市</w:t>
            </w:r>
            <w:r>
              <w:rPr>
                <w:rFonts w:hint="eastAsia" w:ascii="仿宋_GB2312" w:hAnsi="仿宋_GB2312" w:eastAsia="仿宋_GB2312" w:cs="仿宋_GB2312"/>
                <w:color w:val="000000"/>
                <w:kern w:val="0"/>
                <w:sz w:val="24"/>
                <w:szCs w:val="24"/>
                <w:lang w:bidi="ar"/>
              </w:rPr>
              <w:t>级媒体</w:t>
            </w:r>
          </w:p>
        </w:tc>
        <w:tc>
          <w:tcPr>
            <w:tcW w:w="1916"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宋体" w:cs="仿宋_GB2312"/>
                <w:color w:val="000000"/>
                <w:sz w:val="24"/>
                <w:szCs w:val="24"/>
              </w:rPr>
            </w:pPr>
          </w:p>
        </w:tc>
        <w:tc>
          <w:tcPr>
            <w:tcW w:w="2637"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900" w:hRule="atLeast"/>
        </w:trPr>
        <w:tc>
          <w:tcPr>
            <w:tcW w:w="103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仿宋_GB2312" w:eastAsia="仿宋_GB2312" w:cs="仿宋_GB2312"/>
                <w:color w:val="000000"/>
                <w:sz w:val="24"/>
                <w:szCs w:val="24"/>
              </w:rPr>
            </w:pPr>
          </w:p>
        </w:tc>
        <w:tc>
          <w:tcPr>
            <w:tcW w:w="198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仿宋_GB2312" w:eastAsia="仿宋_GB2312" w:cs="仿宋_GB2312"/>
                <w:color w:val="000000"/>
                <w:sz w:val="24"/>
                <w:szCs w:val="24"/>
              </w:rPr>
            </w:pPr>
          </w:p>
        </w:tc>
        <w:tc>
          <w:tcPr>
            <w:tcW w:w="14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kern w:val="0"/>
                <w:sz w:val="24"/>
                <w:szCs w:val="24"/>
                <w:lang w:eastAsia="zh-CN" w:bidi="ar"/>
              </w:rPr>
            </w:pPr>
            <w:r>
              <w:rPr>
                <w:rFonts w:hint="eastAsia" w:hAnsi="仿宋_GB2312" w:cs="仿宋_GB2312"/>
                <w:color w:val="000000"/>
                <w:kern w:val="0"/>
                <w:sz w:val="24"/>
                <w:szCs w:val="24"/>
                <w:lang w:eastAsia="zh-CN" w:bidi="ar"/>
              </w:rPr>
              <w:t>区级媒体</w:t>
            </w:r>
          </w:p>
        </w:tc>
        <w:tc>
          <w:tcPr>
            <w:tcW w:w="1916"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宋体" w:cs="仿宋_GB2312"/>
                <w:color w:val="000000"/>
                <w:sz w:val="24"/>
                <w:szCs w:val="24"/>
              </w:rPr>
            </w:pPr>
          </w:p>
        </w:tc>
        <w:tc>
          <w:tcPr>
            <w:tcW w:w="2637"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1130" w:hRule="atLeast"/>
        </w:trPr>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其他形式</w:t>
            </w:r>
          </w:p>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宣传活动</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线上宣传</w:t>
            </w:r>
          </w:p>
        </w:tc>
        <w:tc>
          <w:tcPr>
            <w:tcW w:w="191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宋体" w:cs="仿宋_GB2312"/>
                <w:color w:val="000000"/>
                <w:sz w:val="24"/>
                <w:szCs w:val="24"/>
              </w:rPr>
            </w:pPr>
          </w:p>
        </w:tc>
        <w:tc>
          <w:tcPr>
            <w:tcW w:w="263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宋体" w:cs="仿宋_GB2312"/>
                <w:color w:val="000000"/>
                <w:sz w:val="24"/>
                <w:szCs w:val="24"/>
              </w:rPr>
            </w:pPr>
          </w:p>
        </w:tc>
      </w:tr>
      <w:tr>
        <w:tblPrEx>
          <w:tblCellMar>
            <w:top w:w="0" w:type="dxa"/>
            <w:left w:w="108" w:type="dxa"/>
            <w:bottom w:w="0" w:type="dxa"/>
            <w:right w:w="108" w:type="dxa"/>
          </w:tblCellMar>
        </w:tblPrEx>
        <w:trPr>
          <w:trHeight w:val="1110"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仿宋_GB2312" w:eastAsia="仿宋_GB2312" w:cs="仿宋_GB2312"/>
                <w:color w:val="000000"/>
                <w:sz w:val="24"/>
                <w:szCs w:val="24"/>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仿宋_GB2312" w:eastAsia="仿宋_GB2312" w:cs="仿宋_GB2312"/>
                <w:color w:val="000000"/>
                <w:sz w:val="24"/>
                <w:szCs w:val="24"/>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bidi w:val="0"/>
              <w:spacing w:line="57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线下宣传</w:t>
            </w:r>
          </w:p>
        </w:tc>
        <w:tc>
          <w:tcPr>
            <w:tcW w:w="191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宋体" w:cs="仿宋_GB2312"/>
                <w:color w:val="000000"/>
                <w:sz w:val="24"/>
                <w:szCs w:val="24"/>
              </w:rPr>
            </w:pPr>
          </w:p>
        </w:tc>
        <w:tc>
          <w:tcPr>
            <w:tcW w:w="263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570" w:lineRule="exact"/>
              <w:ind w:right="0" w:rightChars="0"/>
              <w:jc w:val="center"/>
              <w:rPr>
                <w:rFonts w:hint="eastAsia" w:ascii="仿宋_GB2312" w:hAnsi="宋体" w:cs="仿宋_GB2312"/>
                <w:color w:val="000000"/>
                <w:sz w:val="24"/>
                <w:szCs w:val="24"/>
              </w:rPr>
            </w:pPr>
          </w:p>
        </w:tc>
      </w:tr>
    </w:tbl>
    <w:p>
      <w:pPr>
        <w:pStyle w:val="3"/>
        <w:keepNext w:val="0"/>
        <w:keepLines w:val="0"/>
        <w:pageBreakBefore w:val="0"/>
        <w:shd w:val="clear" w:color="auto" w:fill="auto"/>
        <w:kinsoku/>
        <w:wordWrap/>
        <w:overflowPunct/>
        <w:topLinePunct w:val="0"/>
        <w:bidi w:val="0"/>
        <w:spacing w:line="570" w:lineRule="exact"/>
        <w:ind w:right="0" w:rightChars="0"/>
        <w:rPr>
          <w:rFonts w:hint="default" w:ascii="黑体" w:hAnsi="黑体" w:eastAsia="黑体" w:cs="黑体"/>
          <w:kern w:val="2"/>
          <w:sz w:val="28"/>
          <w:szCs w:val="44"/>
          <w:lang w:val="en-US" w:eastAsia="zh-CN" w:bidi="ar-SA"/>
        </w:rPr>
      </w:pPr>
      <w:r>
        <w:rPr>
          <w:rFonts w:hint="eastAsia" w:ascii="黑体" w:hAnsi="黑体" w:eastAsia="黑体" w:cs="黑体"/>
          <w:kern w:val="2"/>
          <w:sz w:val="28"/>
          <w:szCs w:val="44"/>
          <w:lang w:val="en-US" w:eastAsia="zh-CN" w:bidi="ar-SA"/>
        </w:rPr>
        <w:t>统计时间：  年   季度               填报时间： 年 月 日</w:t>
      </w:r>
    </w:p>
    <w:p>
      <w:pPr>
        <w:keepNext w:val="0"/>
        <w:keepLines w:val="0"/>
        <w:pageBreakBefore w:val="0"/>
        <w:numPr>
          <w:ilvl w:val="0"/>
          <w:numId w:val="0"/>
        </w:numPr>
        <w:shd w:val="clear" w:color="auto" w:fill="auto"/>
        <w:kinsoku/>
        <w:wordWrap/>
        <w:overflowPunct/>
        <w:topLinePunct w:val="0"/>
        <w:bidi w:val="0"/>
        <w:spacing w:line="570" w:lineRule="exact"/>
        <w:ind w:right="0" w:righ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说明：1.案件深度宣传情况：</w:t>
      </w:r>
      <w:r>
        <w:rPr>
          <w:rFonts w:hint="eastAsia" w:ascii="仿宋_GB2312" w:hAnsi="仿宋_GB2312" w:eastAsia="仿宋_GB2312" w:cs="仿宋_GB2312"/>
          <w:sz w:val="24"/>
          <w:szCs w:val="24"/>
          <w:lang w:eastAsia="zh-CN"/>
        </w:rPr>
        <w:t>中央</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省级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级/</w:t>
      </w:r>
      <w:r>
        <w:rPr>
          <w:rFonts w:hint="eastAsia" w:hAnsi="仿宋_GB2312" w:cs="仿宋_GB2312"/>
          <w:sz w:val="24"/>
          <w:szCs w:val="24"/>
          <w:lang w:eastAsia="zh-CN"/>
        </w:rPr>
        <w:t>区级</w:t>
      </w:r>
      <w:r>
        <w:rPr>
          <w:rFonts w:hint="eastAsia" w:ascii="仿宋_GB2312" w:hAnsi="仿宋_GB2312" w:eastAsia="仿宋_GB2312" w:cs="仿宋_GB2312"/>
          <w:sz w:val="24"/>
          <w:szCs w:val="24"/>
        </w:rPr>
        <w:t>媒体名称+案件名称；</w:t>
      </w:r>
    </w:p>
    <w:p>
      <w:pPr>
        <w:keepNext w:val="0"/>
        <w:keepLines w:val="0"/>
        <w:pageBreakBefore w:val="0"/>
        <w:numPr>
          <w:ilvl w:val="0"/>
          <w:numId w:val="0"/>
        </w:numPr>
        <w:shd w:val="clear" w:color="auto" w:fill="auto"/>
        <w:kinsoku/>
        <w:wordWrap/>
        <w:overflowPunct/>
        <w:topLinePunct w:val="0"/>
        <w:bidi w:val="0"/>
        <w:spacing w:line="570" w:lineRule="exact"/>
        <w:ind w:right="0" w:rightChars="0" w:firstLine="720" w:firstLineChars="300"/>
        <w:jc w:val="left"/>
        <w:rPr>
          <w:rFonts w:hint="eastAsia" w:ascii="仿宋_GB2312" w:hAnsi="仿宋_GB2312" w:eastAsia="仿宋_GB2312" w:cs="仿宋_GB2312"/>
          <w:sz w:val="24"/>
          <w:szCs w:val="24"/>
          <w:lang w:eastAsia="zh-CN"/>
        </w:rPr>
        <w:sectPr>
          <w:pgSz w:w="11906" w:h="16838"/>
          <w:pgMar w:top="1417" w:right="1531" w:bottom="1417" w:left="1531" w:header="851" w:footer="1417" w:gutter="0"/>
          <w:pgNumType w:fmt="decimal"/>
          <w:cols w:space="720" w:num="1"/>
          <w:rtlGutter w:val="0"/>
          <w:docGrid w:type="lines" w:linePitch="437" w:charSpace="0"/>
        </w:sect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其他形式宣传活动：线上平台/线下地点名称+简要宣传容</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spacing w:line="570" w:lineRule="exact"/>
        <w:ind w:right="0" w:rightChars="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附件8</w:t>
      </w: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2022民生领域案件查办“铁拳”行动</w:t>
      </w: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重点违法行为查处方案</w:t>
      </w: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一、</w:t>
      </w:r>
      <w:r>
        <w:rPr>
          <w:rFonts w:hint="eastAsia" w:ascii="方正小标宋简体" w:hAnsi="方正小标宋简体" w:eastAsia="方正小标宋简体" w:cs="方正小标宋简体"/>
          <w:sz w:val="36"/>
          <w:szCs w:val="36"/>
        </w:rPr>
        <w:t>食用油掺杂掺假案件查处方案</w:t>
      </w: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0" w:rightChars="0" w:firstLine="616" w:firstLineChars="200"/>
        <w:textAlignment w:val="auto"/>
        <w:rPr>
          <w:rFonts w:ascii="仿宋_GB2312" w:eastAsia="仿宋_GB2312"/>
          <w:spacing w:val="-6"/>
          <w:sz w:val="32"/>
          <w:szCs w:val="32"/>
        </w:rPr>
      </w:pPr>
      <w:r>
        <w:rPr>
          <w:rFonts w:hint="eastAsia" w:ascii="仿宋_GB2312" w:eastAsia="仿宋_GB2312"/>
          <w:spacing w:val="-6"/>
          <w:sz w:val="32"/>
          <w:szCs w:val="32"/>
        </w:rPr>
        <w:t>近年来，食用油整体质量相对较好，但在食用油中掺杂掺假等违法违规行为仍旧存在。</w:t>
      </w:r>
      <w:r>
        <w:rPr>
          <w:rFonts w:hint="eastAsia" w:ascii="仿宋_GB2312" w:eastAsia="仿宋_GB2312"/>
          <w:spacing w:val="-6"/>
          <w:sz w:val="32"/>
          <w:szCs w:val="32"/>
          <w:lang w:eastAsia="zh-CN"/>
        </w:rPr>
        <w:t>要</w:t>
      </w:r>
      <w:r>
        <w:rPr>
          <w:rFonts w:hint="eastAsia" w:ascii="仿宋_GB2312" w:eastAsia="仿宋_GB2312"/>
          <w:spacing w:val="-6"/>
          <w:sz w:val="32"/>
          <w:szCs w:val="32"/>
        </w:rPr>
        <w:t>强化现场检查和检验检测，确保及时发现违法行为，严厉打击在食用油中掺杂掺假，以假充真，以次充好等损害人民群众合法权益的违法违规行为，保障人民群众饮食安全。</w:t>
      </w:r>
    </w:p>
    <w:p>
      <w:pPr>
        <w:keepNext w:val="0"/>
        <w:keepLines w:val="0"/>
        <w:pageBreakBefore w:val="0"/>
        <w:kinsoku/>
        <w:wordWrap/>
        <w:overflowPunct/>
        <w:topLinePunct w:val="0"/>
        <w:autoSpaceDE/>
        <w:autoSpaceDN/>
        <w:bidi w:val="0"/>
        <w:spacing w:line="570" w:lineRule="exact"/>
        <w:ind w:right="0" w:rightChars="0" w:firstLine="616" w:firstLineChars="200"/>
        <w:textAlignment w:val="auto"/>
        <w:rPr>
          <w:rFonts w:ascii="黑体" w:hAnsi="黑体" w:eastAsia="黑体" w:cs="黑体"/>
          <w:spacing w:val="-6"/>
          <w:sz w:val="32"/>
          <w:szCs w:val="32"/>
        </w:rPr>
      </w:pPr>
      <w:r>
        <w:rPr>
          <w:rFonts w:hint="eastAsia" w:ascii="黑体" w:hAnsi="黑体" w:eastAsia="黑体" w:cs="黑体"/>
          <w:spacing w:val="-6"/>
          <w:sz w:val="32"/>
          <w:szCs w:val="32"/>
        </w:rPr>
        <w:t>一、查处重点</w:t>
      </w:r>
    </w:p>
    <w:p>
      <w:pPr>
        <w:keepNext w:val="0"/>
        <w:keepLines w:val="0"/>
        <w:pageBreakBefore w:val="0"/>
        <w:kinsoku/>
        <w:wordWrap/>
        <w:overflowPunct/>
        <w:topLinePunct w:val="0"/>
        <w:autoSpaceDE/>
        <w:autoSpaceDN/>
        <w:bidi w:val="0"/>
        <w:spacing w:line="570" w:lineRule="exact"/>
        <w:ind w:right="0" w:rightChars="0" w:firstLine="616" w:firstLineChars="200"/>
        <w:textAlignment w:val="auto"/>
        <w:rPr>
          <w:rFonts w:ascii="仿宋_GB2312" w:eastAsia="仿宋_GB2312"/>
          <w:spacing w:val="-6"/>
          <w:sz w:val="32"/>
          <w:szCs w:val="32"/>
        </w:rPr>
      </w:pPr>
      <w:r>
        <w:rPr>
          <w:rFonts w:hint="eastAsia" w:ascii="仿宋_GB2312" w:eastAsia="仿宋_GB2312"/>
          <w:spacing w:val="-6"/>
          <w:sz w:val="32"/>
          <w:szCs w:val="32"/>
        </w:rPr>
        <w:t>（</w:t>
      </w:r>
      <w:r>
        <w:rPr>
          <w:rFonts w:hint="eastAsia" w:ascii="仿宋_GB2312" w:eastAsia="仿宋_GB2312"/>
          <w:spacing w:val="-6"/>
          <w:sz w:val="32"/>
          <w:szCs w:val="32"/>
          <w:lang w:eastAsia="zh-CN"/>
        </w:rPr>
        <w:t>一</w:t>
      </w:r>
      <w:r>
        <w:rPr>
          <w:rFonts w:hint="eastAsia" w:ascii="仿宋_GB2312" w:eastAsia="仿宋_GB2312"/>
          <w:spacing w:val="-6"/>
          <w:sz w:val="32"/>
          <w:szCs w:val="32"/>
        </w:rPr>
        <w:t>）严厉查处采购或者使用不符合食品安全标准的食品原料、生产</w:t>
      </w:r>
      <w:r>
        <w:rPr>
          <w:rFonts w:hint="eastAsia" w:ascii="仿宋_GB2312" w:eastAsia="仿宋_GB2312"/>
          <w:color w:val="000000"/>
          <w:spacing w:val="-6"/>
          <w:sz w:val="32"/>
          <w:szCs w:val="32"/>
        </w:rPr>
        <w:t>经营</w:t>
      </w:r>
      <w:r>
        <w:rPr>
          <w:rFonts w:hint="eastAsia" w:ascii="仿宋_GB2312" w:eastAsia="仿宋_GB2312"/>
          <w:spacing w:val="-6"/>
          <w:sz w:val="32"/>
          <w:szCs w:val="32"/>
        </w:rPr>
        <w:t>不符合食品安全标准食用油等违法行为。</w:t>
      </w:r>
    </w:p>
    <w:p>
      <w:pPr>
        <w:keepNext w:val="0"/>
        <w:keepLines w:val="0"/>
        <w:pageBreakBefore w:val="0"/>
        <w:kinsoku/>
        <w:wordWrap/>
        <w:overflowPunct/>
        <w:topLinePunct w:val="0"/>
        <w:autoSpaceDE/>
        <w:autoSpaceDN/>
        <w:bidi w:val="0"/>
        <w:spacing w:line="570" w:lineRule="exact"/>
        <w:ind w:right="0" w:rightChars="0" w:firstLine="616" w:firstLineChars="200"/>
        <w:textAlignment w:val="auto"/>
        <w:rPr>
          <w:rFonts w:hint="eastAsia" w:ascii="仿宋_GB2312" w:eastAsia="仿宋_GB2312"/>
          <w:spacing w:val="-6"/>
          <w:sz w:val="32"/>
          <w:szCs w:val="32"/>
        </w:rPr>
      </w:pPr>
      <w:r>
        <w:rPr>
          <w:rFonts w:hint="eastAsia" w:ascii="仿宋_GB2312" w:eastAsia="仿宋_GB2312"/>
          <w:spacing w:val="-6"/>
          <w:sz w:val="32"/>
          <w:szCs w:val="32"/>
        </w:rPr>
        <w:t>（</w:t>
      </w:r>
      <w:r>
        <w:rPr>
          <w:rFonts w:hint="eastAsia" w:ascii="仿宋_GB2312" w:eastAsia="仿宋_GB2312"/>
          <w:spacing w:val="-6"/>
          <w:sz w:val="32"/>
          <w:szCs w:val="32"/>
          <w:lang w:eastAsia="zh-CN"/>
        </w:rPr>
        <w:t>二</w:t>
      </w:r>
      <w:r>
        <w:rPr>
          <w:rFonts w:hint="eastAsia" w:ascii="仿宋_GB2312" w:eastAsia="仿宋_GB2312"/>
          <w:spacing w:val="-6"/>
          <w:sz w:val="32"/>
          <w:szCs w:val="32"/>
        </w:rPr>
        <w:t>）严厉查处在食用油中非法添加添加剂及食用物质、非食用物质及掺杂掺假的违法行为。</w:t>
      </w:r>
    </w:p>
    <w:p>
      <w:pPr>
        <w:keepNext w:val="0"/>
        <w:keepLines w:val="0"/>
        <w:pageBreakBefore w:val="0"/>
        <w:kinsoku/>
        <w:wordWrap/>
        <w:overflowPunct/>
        <w:topLinePunct w:val="0"/>
        <w:autoSpaceDE/>
        <w:autoSpaceDN/>
        <w:bidi w:val="0"/>
        <w:spacing w:line="570" w:lineRule="exact"/>
        <w:ind w:right="0" w:rightChars="0" w:firstLine="616" w:firstLineChars="200"/>
        <w:textAlignment w:val="auto"/>
        <w:rPr>
          <w:rFonts w:ascii="仿宋_GB2312" w:eastAsia="仿宋_GB2312"/>
          <w:spacing w:val="-6"/>
          <w:sz w:val="32"/>
          <w:szCs w:val="32"/>
        </w:rPr>
      </w:pPr>
      <w:r>
        <w:rPr>
          <w:rFonts w:hint="eastAsia" w:ascii="仿宋_GB2312" w:eastAsia="仿宋_GB2312"/>
          <w:spacing w:val="-6"/>
          <w:sz w:val="32"/>
          <w:szCs w:val="32"/>
        </w:rPr>
        <w:t>（</w:t>
      </w:r>
      <w:r>
        <w:rPr>
          <w:rFonts w:hint="eastAsia" w:ascii="仿宋_GB2312" w:eastAsia="仿宋_GB2312"/>
          <w:spacing w:val="-6"/>
          <w:sz w:val="32"/>
          <w:szCs w:val="32"/>
          <w:lang w:eastAsia="zh-CN"/>
        </w:rPr>
        <w:t>三</w:t>
      </w:r>
      <w:r>
        <w:rPr>
          <w:rFonts w:hint="eastAsia" w:ascii="仿宋_GB2312" w:eastAsia="仿宋_GB2312"/>
          <w:spacing w:val="-6"/>
          <w:sz w:val="32"/>
          <w:szCs w:val="32"/>
        </w:rPr>
        <w:t>）严厉查处未取得许可生产经营食用油的违法行为。</w:t>
      </w:r>
    </w:p>
    <w:p>
      <w:pPr>
        <w:keepNext w:val="0"/>
        <w:keepLines w:val="0"/>
        <w:pageBreakBefore w:val="0"/>
        <w:kinsoku/>
        <w:wordWrap/>
        <w:overflowPunct/>
        <w:topLinePunct w:val="0"/>
        <w:autoSpaceDE/>
        <w:autoSpaceDN/>
        <w:bidi w:val="0"/>
        <w:spacing w:line="570" w:lineRule="exact"/>
        <w:ind w:right="0" w:rightChars="0" w:firstLine="616" w:firstLineChars="200"/>
        <w:textAlignment w:val="auto"/>
        <w:rPr>
          <w:rFonts w:ascii="黑体" w:hAnsi="黑体" w:eastAsia="黑体" w:cs="黑体"/>
          <w:spacing w:val="-6"/>
          <w:sz w:val="32"/>
          <w:szCs w:val="32"/>
        </w:rPr>
      </w:pPr>
      <w:r>
        <w:rPr>
          <w:rFonts w:hint="eastAsia" w:ascii="黑体" w:hAnsi="黑体" w:eastAsia="黑体" w:cs="黑体"/>
          <w:spacing w:val="-6"/>
          <w:sz w:val="32"/>
          <w:szCs w:val="32"/>
        </w:rPr>
        <w:t>二、查处依据</w:t>
      </w:r>
    </w:p>
    <w:p>
      <w:pPr>
        <w:keepNext w:val="0"/>
        <w:keepLines w:val="0"/>
        <w:pageBreakBefore w:val="0"/>
        <w:kinsoku/>
        <w:wordWrap/>
        <w:overflowPunct/>
        <w:topLinePunct w:val="0"/>
        <w:autoSpaceDE/>
        <w:autoSpaceDN/>
        <w:bidi w:val="0"/>
        <w:spacing w:line="570" w:lineRule="exact"/>
        <w:ind w:right="0" w:rightChars="0" w:firstLine="616" w:firstLineChars="200"/>
        <w:textAlignment w:val="auto"/>
        <w:rPr>
          <w:rFonts w:ascii="仿宋_GB2312" w:eastAsia="仿宋_GB2312"/>
          <w:spacing w:val="-6"/>
          <w:sz w:val="32"/>
          <w:szCs w:val="32"/>
        </w:rPr>
      </w:pPr>
      <w:r>
        <w:rPr>
          <w:rFonts w:hint="eastAsia" w:ascii="仿宋_GB2312" w:eastAsia="仿宋_GB2312"/>
          <w:spacing w:val="-6"/>
          <w:sz w:val="32"/>
          <w:szCs w:val="32"/>
        </w:rPr>
        <w:t>（一）依据《中华人民共和国食品安全法》第一百二十二条、第一百二十三条、第一百二十四条、第一百二十五条等规定作出处罚。</w:t>
      </w:r>
    </w:p>
    <w:p>
      <w:pPr>
        <w:keepNext w:val="0"/>
        <w:keepLines w:val="0"/>
        <w:pageBreakBefore w:val="0"/>
        <w:kinsoku/>
        <w:wordWrap/>
        <w:overflowPunct/>
        <w:topLinePunct w:val="0"/>
        <w:autoSpaceDE/>
        <w:autoSpaceDN/>
        <w:bidi w:val="0"/>
        <w:spacing w:line="570" w:lineRule="exact"/>
        <w:ind w:right="0" w:rightChars="0" w:firstLine="616" w:firstLineChars="200"/>
        <w:textAlignment w:val="auto"/>
        <w:rPr>
          <w:rFonts w:ascii="仿宋_GB2312" w:eastAsia="仿宋_GB2312"/>
          <w:spacing w:val="-6"/>
          <w:sz w:val="32"/>
          <w:szCs w:val="32"/>
        </w:rPr>
      </w:pPr>
      <w:r>
        <w:rPr>
          <w:rFonts w:hint="eastAsia" w:ascii="仿宋_GB2312" w:eastAsia="仿宋_GB2312"/>
          <w:spacing w:val="-6"/>
          <w:sz w:val="32"/>
          <w:szCs w:val="32"/>
        </w:rPr>
        <w:t>（二）依据《中华人民共和国食品安全法实施条例》第六十七条、第六十八条、第七十五条等规定作出处罚。</w:t>
      </w:r>
    </w:p>
    <w:p>
      <w:pPr>
        <w:keepNext w:val="0"/>
        <w:keepLines w:val="0"/>
        <w:pageBreakBefore w:val="0"/>
        <w:kinsoku/>
        <w:wordWrap/>
        <w:overflowPunct/>
        <w:topLinePunct w:val="0"/>
        <w:autoSpaceDE/>
        <w:autoSpaceDN/>
        <w:bidi w:val="0"/>
        <w:spacing w:line="570" w:lineRule="exact"/>
        <w:ind w:right="0" w:rightChars="0" w:firstLine="616" w:firstLineChars="200"/>
        <w:textAlignment w:val="auto"/>
        <w:rPr>
          <w:rFonts w:ascii="仿宋_GB2312" w:eastAsia="仿宋_GB2312"/>
          <w:spacing w:val="-6"/>
          <w:sz w:val="32"/>
          <w:szCs w:val="32"/>
        </w:rPr>
      </w:pPr>
      <w:r>
        <w:rPr>
          <w:rFonts w:hint="eastAsia" w:ascii="仿宋_GB2312" w:eastAsia="仿宋_GB2312"/>
          <w:spacing w:val="-6"/>
          <w:sz w:val="32"/>
          <w:szCs w:val="32"/>
        </w:rPr>
        <w:t>（三）依据《中华人民共和国刑法》第一百四十条、第一百四十三条、第一百四十四条等规定做好行刑衔接工作。</w:t>
      </w:r>
    </w:p>
    <w:p>
      <w:pPr>
        <w:keepNext w:val="0"/>
        <w:keepLines w:val="0"/>
        <w:pageBreakBefore w:val="0"/>
        <w:kinsoku/>
        <w:wordWrap/>
        <w:overflowPunct/>
        <w:topLinePunct w:val="0"/>
        <w:autoSpaceDE/>
        <w:autoSpaceDN/>
        <w:bidi w:val="0"/>
        <w:spacing w:line="570" w:lineRule="exact"/>
        <w:ind w:right="0" w:rightChars="0" w:firstLine="616" w:firstLineChars="200"/>
        <w:textAlignment w:val="auto"/>
        <w:rPr>
          <w:rFonts w:ascii="黑体" w:hAnsi="黑体" w:eastAsia="黑体" w:cs="黑体"/>
          <w:spacing w:val="-6"/>
          <w:sz w:val="32"/>
          <w:szCs w:val="32"/>
        </w:rPr>
      </w:pPr>
      <w:r>
        <w:rPr>
          <w:rFonts w:hint="eastAsia" w:ascii="黑体" w:hAnsi="黑体" w:eastAsia="黑体" w:cs="黑体"/>
          <w:spacing w:val="-6"/>
          <w:sz w:val="32"/>
          <w:szCs w:val="32"/>
        </w:rPr>
        <w:t>三、有关要求</w:t>
      </w:r>
    </w:p>
    <w:p>
      <w:pPr>
        <w:keepNext w:val="0"/>
        <w:keepLines w:val="0"/>
        <w:pageBreakBefore w:val="0"/>
        <w:kinsoku/>
        <w:wordWrap/>
        <w:overflowPunct/>
        <w:topLinePunct w:val="0"/>
        <w:autoSpaceDE/>
        <w:autoSpaceDN/>
        <w:bidi w:val="0"/>
        <w:spacing w:line="570" w:lineRule="exact"/>
        <w:ind w:right="0" w:rightChars="0" w:firstLine="616" w:firstLineChars="200"/>
        <w:textAlignment w:val="auto"/>
        <w:rPr>
          <w:rFonts w:ascii="仿宋_GB2312" w:eastAsia="仿宋_GB2312"/>
          <w:spacing w:val="-6"/>
          <w:sz w:val="32"/>
          <w:szCs w:val="32"/>
        </w:rPr>
      </w:pPr>
      <w:r>
        <w:rPr>
          <w:rFonts w:hint="eastAsia" w:ascii="仿宋_GB2312" w:eastAsia="仿宋_GB2312"/>
          <w:spacing w:val="-6"/>
          <w:sz w:val="32"/>
          <w:szCs w:val="32"/>
        </w:rPr>
        <w:t>（一）加大信息数据搜集力度，特别关注投诉举报、监督检查、舆情信息等案件线索。重点打击生产食用油的非法掺杂掺假的“黑窝点”，对发现的非法添加“地沟油”及其他掺杂掺假行为</w:t>
      </w:r>
      <w:r>
        <w:rPr>
          <w:rFonts w:ascii="仿宋_GB2312" w:eastAsia="仿宋_GB2312"/>
          <w:spacing w:val="-6"/>
          <w:sz w:val="32"/>
          <w:szCs w:val="32"/>
        </w:rPr>
        <w:t>，</w:t>
      </w:r>
      <w:r>
        <w:rPr>
          <w:rFonts w:hint="eastAsia" w:ascii="仿宋_GB2312" w:eastAsia="仿宋_GB2312"/>
          <w:spacing w:val="-6"/>
          <w:sz w:val="32"/>
          <w:szCs w:val="32"/>
        </w:rPr>
        <w:t>一查到底</w:t>
      </w:r>
      <w:r>
        <w:rPr>
          <w:rFonts w:ascii="仿宋_GB2312" w:eastAsia="仿宋_GB2312"/>
          <w:spacing w:val="-6"/>
          <w:sz w:val="32"/>
          <w:szCs w:val="32"/>
        </w:rPr>
        <w:t>，绝不姑息。</w:t>
      </w:r>
    </w:p>
    <w:p>
      <w:pPr>
        <w:keepNext w:val="0"/>
        <w:keepLines w:val="0"/>
        <w:pageBreakBefore w:val="0"/>
        <w:kinsoku/>
        <w:wordWrap/>
        <w:overflowPunct/>
        <w:topLinePunct w:val="0"/>
        <w:autoSpaceDE/>
        <w:autoSpaceDN/>
        <w:bidi w:val="0"/>
        <w:spacing w:line="570" w:lineRule="exact"/>
        <w:ind w:right="0" w:rightChars="0" w:firstLine="616" w:firstLineChars="200"/>
        <w:textAlignment w:val="auto"/>
        <w:rPr>
          <w:rFonts w:ascii="仿宋_GB2312" w:eastAsia="仿宋_GB2312"/>
          <w:spacing w:val="-6"/>
          <w:sz w:val="32"/>
          <w:szCs w:val="32"/>
        </w:rPr>
      </w:pPr>
      <w:r>
        <w:rPr>
          <w:rFonts w:hint="eastAsia" w:ascii="仿宋_GB2312" w:eastAsia="仿宋_GB2312"/>
          <w:spacing w:val="-6"/>
          <w:sz w:val="32"/>
          <w:szCs w:val="32"/>
        </w:rPr>
        <w:t>（二）对违法行为应坚持从生产到经营环节全链条打击。生产环节重点检查生产许可保持情况、原辅料采购记录和进货查验制度落实、生产过程控制和参数记录、出厂检验、食品添加剂使用、标签标示和物料平衡等方面，形成原料到成品完整的证据链。经营环节主要对销售、使用无标签标示、来源不明、进货价格明显偏低和无检验合格证明等食用油进行重点调查。</w:t>
      </w:r>
    </w:p>
    <w:p>
      <w:pPr>
        <w:keepNext w:val="0"/>
        <w:keepLines w:val="0"/>
        <w:pageBreakBefore w:val="0"/>
        <w:kinsoku/>
        <w:wordWrap/>
        <w:overflowPunct/>
        <w:topLinePunct w:val="0"/>
        <w:autoSpaceDE/>
        <w:autoSpaceDN/>
        <w:bidi w:val="0"/>
        <w:spacing w:line="570" w:lineRule="exact"/>
        <w:ind w:right="0" w:rightChars="0" w:firstLine="616" w:firstLineChars="200"/>
        <w:textAlignment w:val="auto"/>
        <w:rPr>
          <w:rFonts w:ascii="仿宋_GB2312" w:hAnsi="仿宋_GB2312" w:eastAsia="仿宋_GB2312" w:cs="仿宋_GB2312"/>
          <w:sz w:val="32"/>
          <w:szCs w:val="32"/>
        </w:rPr>
      </w:pPr>
      <w:r>
        <w:rPr>
          <w:rFonts w:hint="eastAsia" w:ascii="仿宋_GB2312" w:eastAsia="仿宋_GB2312"/>
          <w:spacing w:val="-6"/>
          <w:sz w:val="32"/>
          <w:szCs w:val="32"/>
        </w:rPr>
        <w:t>（三）注重与系统内同级业务部门和上下级部门的协作配合，加强与公安、农业农村等有关部门的协调配合，加强信息沟通，形成执法合力。</w:t>
      </w:r>
    </w:p>
    <w:p>
      <w:pPr>
        <w:keepNext w:val="0"/>
        <w:keepLines w:val="0"/>
        <w:pageBreakBefore w:val="0"/>
        <w:kinsoku/>
        <w:wordWrap/>
        <w:overflowPunct/>
        <w:topLinePunct w:val="0"/>
        <w:autoSpaceDE/>
        <w:autoSpaceDN/>
        <w:bidi w:val="0"/>
        <w:spacing w:line="570" w:lineRule="exact"/>
        <w:ind w:right="0" w:rightChars="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right="0" w:rightChars="0"/>
        <w:textAlignment w:val="auto"/>
      </w:pPr>
    </w:p>
    <w:p>
      <w:pPr>
        <w:pStyle w:val="3"/>
        <w:keepNext w:val="0"/>
        <w:keepLines w:val="0"/>
        <w:pageBreakBefore w:val="0"/>
        <w:kinsoku/>
        <w:wordWrap/>
        <w:overflowPunct/>
        <w:topLinePunct w:val="0"/>
        <w:autoSpaceDE/>
        <w:autoSpaceDN/>
        <w:bidi w:val="0"/>
        <w:spacing w:line="570" w:lineRule="exact"/>
        <w:ind w:right="0" w:rightChars="0"/>
        <w:textAlignment w:val="auto"/>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spacing w:line="570" w:lineRule="exact"/>
        <w:ind w:right="0" w:rightChars="0"/>
        <w:jc w:val="center"/>
        <w:textAlignment w:val="auto"/>
        <w:rPr>
          <w:rFonts w:hint="eastAsia" w:ascii="方正小标宋简体" w:hAnsi="仿宋_GB2312" w:eastAsia="方正小标宋简体" w:cs="仿宋_GB2312"/>
          <w:bCs/>
          <w:color w:val="000000"/>
          <w:sz w:val="44"/>
          <w:szCs w:val="44"/>
        </w:rPr>
      </w:pPr>
    </w:p>
    <w:p>
      <w:pPr>
        <w:keepNext w:val="0"/>
        <w:keepLines w:val="0"/>
        <w:pageBreakBefore w:val="0"/>
        <w:widowControl w:val="0"/>
        <w:kinsoku/>
        <w:wordWrap/>
        <w:overflowPunct/>
        <w:topLinePunct w:val="0"/>
        <w:autoSpaceDE/>
        <w:autoSpaceDN/>
        <w:bidi w:val="0"/>
        <w:spacing w:line="570" w:lineRule="exact"/>
        <w:ind w:right="0" w:rightChars="0"/>
        <w:jc w:val="center"/>
        <w:textAlignment w:val="auto"/>
        <w:rPr>
          <w:rFonts w:hint="eastAsia" w:ascii="方正小标宋简体" w:hAnsi="仿宋_GB2312" w:eastAsia="方正小标宋简体" w:cs="仿宋_GB2312"/>
          <w:bCs/>
          <w:color w:val="000000"/>
          <w:sz w:val="36"/>
          <w:szCs w:val="36"/>
          <w:lang w:eastAsia="zh-CN"/>
        </w:rPr>
      </w:pPr>
    </w:p>
    <w:p>
      <w:pPr>
        <w:keepNext w:val="0"/>
        <w:keepLines w:val="0"/>
        <w:pageBreakBefore w:val="0"/>
        <w:widowControl w:val="0"/>
        <w:kinsoku/>
        <w:wordWrap/>
        <w:overflowPunct/>
        <w:topLinePunct w:val="0"/>
        <w:autoSpaceDE/>
        <w:autoSpaceDN/>
        <w:bidi w:val="0"/>
        <w:spacing w:line="570" w:lineRule="exact"/>
        <w:ind w:right="0" w:rightChars="0"/>
        <w:jc w:val="center"/>
        <w:textAlignment w:val="auto"/>
        <w:rPr>
          <w:rFonts w:hint="eastAsia" w:ascii="方正小标宋简体" w:hAnsi="仿宋_GB2312" w:eastAsia="方正小标宋简体" w:cs="仿宋_GB2312"/>
          <w:bCs/>
          <w:color w:val="000000"/>
          <w:sz w:val="36"/>
          <w:szCs w:val="36"/>
          <w:lang w:eastAsia="zh-CN"/>
        </w:rPr>
      </w:pPr>
    </w:p>
    <w:p>
      <w:pPr>
        <w:keepNext w:val="0"/>
        <w:keepLines w:val="0"/>
        <w:pageBreakBefore w:val="0"/>
        <w:widowControl w:val="0"/>
        <w:kinsoku/>
        <w:wordWrap/>
        <w:overflowPunct/>
        <w:topLinePunct w:val="0"/>
        <w:autoSpaceDE/>
        <w:autoSpaceDN/>
        <w:bidi w:val="0"/>
        <w:spacing w:line="570" w:lineRule="exact"/>
        <w:ind w:right="0" w:rightChars="0"/>
        <w:jc w:val="center"/>
        <w:textAlignment w:val="auto"/>
        <w:rPr>
          <w:rFonts w:hint="eastAsia" w:ascii="方正小标宋简体" w:hAnsi="仿宋_GB2312" w:eastAsia="方正小标宋简体" w:cs="仿宋_GB2312"/>
          <w:bCs/>
          <w:color w:val="000000"/>
          <w:sz w:val="36"/>
          <w:szCs w:val="36"/>
          <w:lang w:eastAsia="zh-CN"/>
        </w:rPr>
      </w:pPr>
    </w:p>
    <w:p>
      <w:pPr>
        <w:keepNext w:val="0"/>
        <w:keepLines w:val="0"/>
        <w:pageBreakBefore w:val="0"/>
        <w:widowControl w:val="0"/>
        <w:kinsoku/>
        <w:wordWrap/>
        <w:overflowPunct/>
        <w:topLinePunct w:val="0"/>
        <w:autoSpaceDE/>
        <w:autoSpaceDN/>
        <w:bidi w:val="0"/>
        <w:spacing w:line="570" w:lineRule="exact"/>
        <w:ind w:right="0" w:rightChars="0"/>
        <w:jc w:val="center"/>
        <w:textAlignment w:val="auto"/>
        <w:rPr>
          <w:rFonts w:ascii="方正小标宋简体" w:hAnsi="仿宋_GB2312" w:eastAsia="方正小标宋简体" w:cs="仿宋_GB2312"/>
          <w:bCs/>
          <w:color w:val="000000"/>
          <w:sz w:val="36"/>
          <w:szCs w:val="36"/>
        </w:rPr>
      </w:pPr>
      <w:r>
        <w:rPr>
          <w:rFonts w:hint="eastAsia" w:ascii="方正小标宋简体" w:hAnsi="仿宋_GB2312" w:eastAsia="方正小标宋简体" w:cs="仿宋_GB2312"/>
          <w:bCs/>
          <w:color w:val="000000"/>
          <w:sz w:val="36"/>
          <w:szCs w:val="36"/>
          <w:lang w:eastAsia="zh-CN"/>
        </w:rPr>
        <w:t>二、</w:t>
      </w:r>
      <w:r>
        <w:rPr>
          <w:rFonts w:hint="eastAsia" w:ascii="方正小标宋简体" w:hAnsi="仿宋_GB2312" w:eastAsia="方正小标宋简体" w:cs="仿宋_GB2312"/>
          <w:bCs/>
          <w:color w:val="000000"/>
          <w:sz w:val="36"/>
          <w:szCs w:val="36"/>
        </w:rPr>
        <w:t>声称减肥、壮阳等食品非法添加</w:t>
      </w:r>
    </w:p>
    <w:p>
      <w:pPr>
        <w:keepNext w:val="0"/>
        <w:keepLines w:val="0"/>
        <w:pageBreakBefore w:val="0"/>
        <w:widowControl w:val="0"/>
        <w:kinsoku/>
        <w:wordWrap/>
        <w:overflowPunct/>
        <w:topLinePunct w:val="0"/>
        <w:autoSpaceDE/>
        <w:autoSpaceDN/>
        <w:bidi w:val="0"/>
        <w:spacing w:line="570" w:lineRule="exact"/>
        <w:ind w:right="0" w:rightChars="0"/>
        <w:jc w:val="center"/>
        <w:textAlignment w:val="auto"/>
        <w:rPr>
          <w:rFonts w:ascii="方正小标宋简体" w:hAnsi="仿宋_GB2312" w:eastAsia="方正小标宋简体" w:cs="仿宋_GB2312"/>
          <w:bCs/>
          <w:color w:val="000000"/>
          <w:sz w:val="36"/>
          <w:szCs w:val="36"/>
        </w:rPr>
      </w:pPr>
      <w:r>
        <w:rPr>
          <w:rFonts w:hint="eastAsia" w:ascii="方正小标宋简体" w:hAnsi="仿宋_GB2312" w:eastAsia="方正小标宋简体" w:cs="仿宋_GB2312"/>
          <w:bCs/>
          <w:color w:val="000000"/>
          <w:sz w:val="36"/>
          <w:szCs w:val="36"/>
        </w:rPr>
        <w:t>案件查处方案</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食品中非法添加的违法行为严重损害人民群众身体健康，是群体性食品安全事故诱因之一，也是市场监管部门近年来的重点打击目标。</w:t>
      </w:r>
      <w:r>
        <w:rPr>
          <w:rFonts w:hint="eastAsia" w:ascii="仿宋_GB2312" w:hAnsi="仿宋_GB2312" w:eastAsia="仿宋_GB2312" w:cs="仿宋_GB2312"/>
          <w:color w:val="000000"/>
          <w:sz w:val="32"/>
          <w:szCs w:val="32"/>
          <w:lang w:eastAsia="zh-CN"/>
        </w:rPr>
        <w:t>要</w:t>
      </w:r>
      <w:r>
        <w:rPr>
          <w:rFonts w:hint="eastAsia" w:ascii="仿宋_GB2312" w:hAnsi="仿宋_GB2312" w:eastAsia="仿宋_GB2312" w:cs="仿宋_GB2312"/>
          <w:color w:val="000000"/>
          <w:sz w:val="32"/>
          <w:szCs w:val="32"/>
        </w:rPr>
        <w:t>坚持全链条打击，加强部门合作尤其是行刑衔接，及时控制涉案产品流向，斩断非法利益链条，将社会危害降到最低，切实捍卫人民群众“舌尖上的安全”。</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ascii="黑体" w:hAnsi="黑体" w:eastAsia="黑体" w:cs="仿宋_GB2312"/>
          <w:color w:val="000000"/>
          <w:sz w:val="32"/>
          <w:szCs w:val="32"/>
        </w:rPr>
      </w:pPr>
      <w:r>
        <w:rPr>
          <w:rFonts w:ascii="黑体" w:hAnsi="黑体" w:eastAsia="黑体" w:cs="仿宋_GB2312"/>
          <w:color w:val="000000"/>
          <w:sz w:val="32"/>
          <w:szCs w:val="32"/>
        </w:rPr>
        <w:t>一</w:t>
      </w:r>
      <w:r>
        <w:rPr>
          <w:rFonts w:hint="eastAsia" w:ascii="黑体" w:hAnsi="黑体" w:eastAsia="黑体" w:cs="仿宋_GB2312"/>
          <w:color w:val="000000"/>
          <w:sz w:val="32"/>
          <w:szCs w:val="32"/>
        </w:rPr>
        <w:t>、</w:t>
      </w:r>
      <w:r>
        <w:rPr>
          <w:rFonts w:ascii="黑体" w:hAnsi="黑体" w:eastAsia="黑体" w:cs="仿宋_GB2312"/>
          <w:color w:val="000000"/>
          <w:sz w:val="32"/>
          <w:szCs w:val="32"/>
        </w:rPr>
        <w:t>查处重点</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u w:val="none"/>
        </w:rPr>
      </w:pPr>
      <w:r>
        <w:rPr>
          <w:rFonts w:hint="eastAsia" w:ascii="仿宋_GB2312" w:hAnsi="仿宋_GB2312" w:eastAsia="仿宋_GB2312" w:cs="仿宋_GB2312"/>
          <w:b w:val="0"/>
          <w:bCs w:val="0"/>
          <w:color w:val="000000"/>
          <w:sz w:val="32"/>
          <w:szCs w:val="32"/>
          <w:u w:val="none"/>
          <w:lang w:eastAsia="zh-CN"/>
        </w:rPr>
        <w:t>（一）以声称减肥、壮阳等食品非法添加案件为重点，</w:t>
      </w:r>
      <w:r>
        <w:rPr>
          <w:rFonts w:hint="eastAsia" w:ascii="仿宋_GB2312" w:hAnsi="仿宋_GB2312" w:eastAsia="仿宋_GB2312" w:cs="仿宋_GB2312"/>
          <w:b w:val="0"/>
          <w:bCs w:val="0"/>
          <w:color w:val="000000"/>
          <w:sz w:val="32"/>
          <w:szCs w:val="32"/>
          <w:u w:val="none"/>
        </w:rPr>
        <w:t>严厉查处用非食品原料生产食品、在食品中添加食品添加剂以外的化学物质和其他可能危害人体健康的物质，或者用回收食品作为原料生产食品，或者经营上述食品的违法行为。</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u w:val="none"/>
        </w:rPr>
      </w:pPr>
      <w:r>
        <w:rPr>
          <w:rFonts w:hint="eastAsia" w:ascii="仿宋_GB2312" w:hAnsi="仿宋_GB2312" w:eastAsia="仿宋_GB2312" w:cs="仿宋_GB2312"/>
          <w:b w:val="0"/>
          <w:bCs w:val="0"/>
          <w:color w:val="000000"/>
          <w:sz w:val="32"/>
          <w:szCs w:val="32"/>
          <w:u w:val="none"/>
          <w:lang w:eastAsia="zh-CN"/>
        </w:rPr>
        <w:t>（二）</w:t>
      </w:r>
      <w:r>
        <w:rPr>
          <w:rFonts w:hint="eastAsia" w:ascii="仿宋_GB2312" w:hAnsi="仿宋_GB2312" w:eastAsia="仿宋_GB2312" w:cs="仿宋_GB2312"/>
          <w:b w:val="0"/>
          <w:bCs w:val="0"/>
          <w:color w:val="000000"/>
          <w:sz w:val="32"/>
          <w:szCs w:val="32"/>
          <w:u w:val="none"/>
        </w:rPr>
        <w:t>严厉查处生产经营添加药品的食品的违法行为。</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u w:val="none"/>
        </w:rPr>
      </w:pPr>
      <w:r>
        <w:rPr>
          <w:rFonts w:hint="eastAsia" w:ascii="仿宋_GB2312" w:hAnsi="仿宋_GB2312" w:eastAsia="仿宋_GB2312" w:cs="仿宋_GB2312"/>
          <w:b w:val="0"/>
          <w:bCs w:val="0"/>
          <w:color w:val="000000"/>
          <w:sz w:val="32"/>
          <w:szCs w:val="32"/>
          <w:u w:val="none"/>
          <w:lang w:eastAsia="zh-CN"/>
        </w:rPr>
        <w:t>（三）</w:t>
      </w:r>
      <w:r>
        <w:rPr>
          <w:rFonts w:hint="eastAsia" w:ascii="仿宋_GB2312" w:hAnsi="仿宋_GB2312" w:eastAsia="仿宋_GB2312" w:cs="仿宋_GB2312"/>
          <w:b w:val="0"/>
          <w:bCs w:val="0"/>
          <w:color w:val="000000"/>
          <w:sz w:val="32"/>
          <w:szCs w:val="32"/>
          <w:u w:val="none"/>
        </w:rPr>
        <w:t>严厉打击生产经营的食品和和食品添加剂的标签、说明书涉及疾病预防、治疗功能的违法行为。</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u w:val="none"/>
        </w:rPr>
      </w:pPr>
      <w:r>
        <w:rPr>
          <w:rFonts w:hint="eastAsia" w:ascii="仿宋_GB2312" w:hAnsi="仿宋_GB2312" w:eastAsia="仿宋_GB2312" w:cs="仿宋_GB2312"/>
          <w:b w:val="0"/>
          <w:bCs w:val="0"/>
          <w:color w:val="000000"/>
          <w:sz w:val="32"/>
          <w:szCs w:val="32"/>
          <w:u w:val="none"/>
          <w:lang w:eastAsia="zh-CN"/>
        </w:rPr>
        <w:t>（四）</w:t>
      </w:r>
      <w:r>
        <w:rPr>
          <w:rFonts w:hint="eastAsia" w:ascii="仿宋_GB2312" w:hAnsi="仿宋_GB2312" w:eastAsia="仿宋_GB2312" w:cs="仿宋_GB2312"/>
          <w:b w:val="0"/>
          <w:bCs w:val="0"/>
          <w:color w:val="000000"/>
          <w:sz w:val="32"/>
          <w:szCs w:val="32"/>
          <w:u w:val="none"/>
        </w:rPr>
        <w:t>严厉查处未经许可从事食品生产经营活动的违法行为。</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二、查处依据</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ascii="仿宋_GB2312" w:hAnsi="仿宋_GB2312" w:eastAsia="仿宋_GB2312" w:cs="仿宋_GB2312"/>
          <w:color w:val="000000"/>
          <w:sz w:val="32"/>
          <w:szCs w:val="32"/>
        </w:rPr>
        <w:t>依据</w:t>
      </w:r>
      <w:r>
        <w:rPr>
          <w:rFonts w:hint="eastAsia" w:ascii="仿宋_GB2312" w:hAnsi="仿宋_GB2312" w:eastAsia="仿宋_GB2312" w:cs="仿宋_GB2312"/>
          <w:color w:val="000000"/>
          <w:sz w:val="32"/>
          <w:szCs w:val="32"/>
        </w:rPr>
        <w:t>《中华人民共和国食品安全法》第一百二十二条、第一百二十三条、第一百二十五条、第一百三十五条及《中华人民共和国食品安全法实施条例》</w:t>
      </w:r>
      <w:r>
        <w:rPr>
          <w:rFonts w:hint="eastAsia" w:ascii="仿宋_GB2312" w:eastAsia="仿宋_GB2312"/>
          <w:color w:val="000000"/>
          <w:spacing w:val="-6"/>
          <w:sz w:val="32"/>
          <w:szCs w:val="32"/>
        </w:rPr>
        <w:t>第六十七条、第六十八条、第七十五条等</w:t>
      </w:r>
      <w:r>
        <w:rPr>
          <w:rFonts w:hint="eastAsia" w:ascii="仿宋_GB2312" w:hAnsi="仿宋_GB2312" w:eastAsia="仿宋_GB2312" w:cs="仿宋_GB2312"/>
          <w:color w:val="000000"/>
          <w:sz w:val="32"/>
          <w:szCs w:val="32"/>
        </w:rPr>
        <w:t>规定作出行政处罚。</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ascii="仿宋_GB2312" w:eastAsia="仿宋_GB2312"/>
          <w:color w:val="000000"/>
          <w:spacing w:val="-6"/>
          <w:sz w:val="32"/>
          <w:szCs w:val="32"/>
        </w:rPr>
      </w:pPr>
      <w:r>
        <w:rPr>
          <w:rFonts w:hint="eastAsia" w:ascii="仿宋_GB2312" w:hAnsi="仿宋_GB2312" w:eastAsia="仿宋_GB2312" w:cs="仿宋_GB2312"/>
          <w:color w:val="000000"/>
          <w:sz w:val="32"/>
          <w:szCs w:val="32"/>
          <w:lang w:eastAsia="zh-CN"/>
        </w:rPr>
        <w:t>（二）</w:t>
      </w:r>
      <w:r>
        <w:rPr>
          <w:rFonts w:hint="eastAsia" w:ascii="仿宋_GB2312" w:eastAsia="仿宋_GB2312"/>
          <w:color w:val="000000"/>
          <w:spacing w:val="-6"/>
          <w:sz w:val="32"/>
          <w:szCs w:val="32"/>
        </w:rPr>
        <w:t>依据《中华人民共和国刑法》第一百四十条、第一百四十三条、第一百四十四条等规定做好行刑衔接工作。</w:t>
      </w:r>
    </w:p>
    <w:p>
      <w:pPr>
        <w:keepNext w:val="0"/>
        <w:keepLines w:val="0"/>
        <w:pageBreakBefore w:val="0"/>
        <w:widowControl w:val="0"/>
        <w:kinsoku/>
        <w:wordWrap/>
        <w:overflowPunct/>
        <w:topLinePunct w:val="0"/>
        <w:autoSpaceDE/>
        <w:autoSpaceDN/>
        <w:bidi w:val="0"/>
        <w:spacing w:line="570" w:lineRule="exact"/>
        <w:ind w:right="0" w:rightChars="0" w:firstLine="616" w:firstLineChars="200"/>
        <w:jc w:val="both"/>
        <w:textAlignment w:val="auto"/>
        <w:rPr>
          <w:rFonts w:ascii="黑体" w:hAnsi="黑体" w:eastAsia="黑体"/>
          <w:color w:val="000000"/>
          <w:spacing w:val="-6"/>
          <w:sz w:val="32"/>
          <w:szCs w:val="32"/>
        </w:rPr>
      </w:pPr>
      <w:r>
        <w:rPr>
          <w:rFonts w:ascii="黑体" w:hAnsi="黑体" w:eastAsia="黑体"/>
          <w:color w:val="000000"/>
          <w:spacing w:val="-6"/>
          <w:sz w:val="32"/>
          <w:szCs w:val="32"/>
        </w:rPr>
        <w:t>三</w:t>
      </w:r>
      <w:r>
        <w:rPr>
          <w:rFonts w:hint="eastAsia" w:ascii="黑体" w:hAnsi="黑体" w:eastAsia="黑体"/>
          <w:color w:val="000000"/>
          <w:spacing w:val="-6"/>
          <w:sz w:val="32"/>
          <w:szCs w:val="32"/>
        </w:rPr>
        <w:t>、有关要求</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ascii="仿宋_GB2312" w:hAnsi="仿宋_GB2312" w:eastAsia="仿宋_GB2312" w:cs="仿宋_GB2312"/>
          <w:color w:val="000000"/>
          <w:sz w:val="32"/>
          <w:szCs w:val="32"/>
        </w:rPr>
        <w:t>根据此类案件特点</w:t>
      </w:r>
      <w:r>
        <w:rPr>
          <w:rFonts w:hint="eastAsia" w:ascii="仿宋_GB2312" w:hAnsi="仿宋_GB2312" w:eastAsia="仿宋_GB2312" w:cs="仿宋_GB2312"/>
          <w:color w:val="000000"/>
          <w:sz w:val="32"/>
          <w:szCs w:val="32"/>
        </w:rPr>
        <w:t>，应高度重视投诉举报线索，同时针对日常监管、抽检检测及司法机关移送等渠道发现的线索深挖细查。</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应充分发挥检验检测机构的技术支撑作用，做到准确定性。对于涉嫌刑事的违法犯罪，应当充分利用公安部门具备的强制手段、侦查手段开展联合调查，同时加强与其它司法部门衔接，共同查处食品违法犯罪大要案。</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用好用全市场监管“工具箱”，严格落实“处罚到人”要求，</w:t>
      </w:r>
      <w:r>
        <w:rPr>
          <w:rFonts w:hint="eastAsia" w:ascii="仿宋_GB2312" w:hAnsi="仿宋_GB2312" w:eastAsia="仿宋_GB2312" w:cs="仿宋_GB2312"/>
          <w:bCs/>
          <w:color w:val="000000"/>
          <w:sz w:val="32"/>
          <w:szCs w:val="32"/>
        </w:rPr>
        <w:t>加强宣传曝光力度，营造打击食品违法犯罪的浓厚氛围。</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pStyle w:val="3"/>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三、油品质量违法案件查处方案</w:t>
      </w:r>
    </w:p>
    <w:p>
      <w:pPr>
        <w:keepNext w:val="0"/>
        <w:keepLines w:val="0"/>
        <w:pageBreakBefore w:val="0"/>
        <w:widowControl w:val="0"/>
        <w:kinsoku/>
        <w:wordWrap/>
        <w:overflowPunct/>
        <w:topLinePunct w:val="0"/>
        <w:autoSpaceDE/>
        <w:autoSpaceDN/>
        <w:bidi w:val="0"/>
        <w:adjustRightInd/>
        <w:snapToGrid/>
        <w:spacing w:line="570" w:lineRule="exact"/>
        <w:ind w:right="0" w:rightChars="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品油是关系国计民生的重要商品，事关人民群众的生命财产安全，其质量成为群众关心和社会关注的热点焦点问题，要加强成品油质量的监管执法，严厉打击成品油质量违法违规行为，切实维护成品油市场经营秩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一、重点检查领域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成品油生产企业，加油站，成品油批发企业。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二、查处重点</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严厉查处生产销售不符合国家标准要求的成品油违法行为。</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严厉查处生产销售以次充好、以假充真、掺杂掺假成品油违法行为。</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严厉查处无工业产品生产许可证生产车用汽油违法行为。</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严厉查处销售无工业产品生产许可证车用汽油违法行为。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三、查处依据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（一）依据《中华人民共和国产品质量法》第四十九条、五十条等规定作出处罚。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（二）依据《中华人民共和国工业产品生产许可证管理条例》第四十五条、四十八条等规定作出处罚。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三、有关要求</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强化协作配合。要加强与系统内业务部门和上下级部门协作配合，加强与发改、应急等部门协调配合，实现信息共享，形成执法合力，提升执法效果。</w:t>
      </w:r>
    </w:p>
    <w:p>
      <w:pPr>
        <w:pStyle w:val="9"/>
        <w:keepNext w:val="0"/>
        <w:keepLines w:val="0"/>
        <w:pageBreakBefore w:val="0"/>
        <w:widowControl w:val="0"/>
        <w:kinsoku/>
        <w:wordWrap/>
        <w:overflowPunct/>
        <w:topLinePunct w:val="0"/>
        <w:autoSpaceDE/>
        <w:autoSpaceDN/>
        <w:bidi w:val="0"/>
        <w:adjustRightInd/>
        <w:snapToGrid/>
        <w:spacing w:line="570" w:lineRule="exact"/>
        <w:ind w:right="0" w:rightChars="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（二）严厉执法查处。拓宽案源渠道，</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kern w:val="2"/>
          <w:sz w:val="32"/>
          <w:szCs w:val="32"/>
          <w:lang w:val="en-US" w:eastAsia="zh-CN" w:bidi="ar-SA"/>
        </w:rPr>
        <w:t>监督检查、监督抽检、专家检查、投诉举报等多种形式发现的质量违法线索，一查到底，绝不姑息，涉嫌犯罪的，及时移送司法机关处理。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四、加油站计量作弊案件查处方案</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油机计量准确与否，事关成品油市场公平公正的营商环境和广大人民群众的切身利益，但目前擅自改动加油机主板计量芯片及相关计量程序等破坏加油机计量准确度的违法行为时有发生，个别加油机计量检定不合格问题依然存在，亟需集中力量，严查违法行为，切实维护消费者权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一、查处重点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（一）重点违法行为：使用破坏计量器具准确度的加油机，使用未按照规定进行检定或经检定不合格的加油机；</w:t>
      </w:r>
      <w:r>
        <w:rPr>
          <w:rFonts w:hint="eastAsia" w:ascii="仿宋_GB2312" w:hAnsi="仿宋_GB2312" w:eastAsia="仿宋_GB2312" w:cs="仿宋_GB2312"/>
          <w:color w:val="auto"/>
          <w:sz w:val="32"/>
          <w:szCs w:val="32"/>
          <w:lang w:val="en-US" w:eastAsia="zh-CN"/>
        </w:rPr>
        <w:t>私自开启加油机检定封印、破坏检定封缄或者防作弊装置</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（二）重点关注领域：成品油销售价明显低于市场价的个体私营加油站；国道、省道等货车通行量大的道路两侧个体私营加油站。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二、查处依据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（一）依据《计量法》第二十四条、第二十五条、第二十六条、第二十七条等规定作出处罚。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（二）依据《计量法实施细则》第四十三条、第四十五条、第四十六条、第四十八条等规定作出处罚。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（三）依据《山东省计量条例》第三十四条、第三十五条、第三十六条等规定作出处罚。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三、有关要求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（一）围绕重点关注领域，针对性开展加油机计量准确度暗访工作，主动搜集执法案源。积极攻克违法行为隐蔽性强、违法证据易灭失等执法难点，严厉查处违法行为。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（二）注重与计量检定机构、计量或税控芯片生产单位、加油机生产厂家和上下级部门的协作配合，多方寻求技术支撑，强化闭环证据链，不断提高办案质量。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（三）加大信息数据搜集力度，将有关投诉举报、舆情信息等作为案件线索，落实属地查处。加强与公安、工信等部门的协调配合，加强信息沟通，形成执法合力。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（四）加大宣传力度，充分利用网络、新闻媒体等宣传渠道，加大对违法行为的曝光力度，不断发挥执法震慑作用。</w:t>
      </w:r>
    </w:p>
    <w:p>
      <w:pPr>
        <w:keepNext w:val="0"/>
        <w:keepLines w:val="0"/>
        <w:pageBreakBefore w:val="0"/>
        <w:widowControl w:val="0"/>
        <w:kinsoku/>
        <w:wordWrap/>
        <w:overflowPunct/>
        <w:topLinePunct w:val="0"/>
        <w:autoSpaceDE/>
        <w:autoSpaceDN/>
        <w:bidi w:val="0"/>
        <w:spacing w:line="590" w:lineRule="exact"/>
        <w:ind w:left="0" w:leftChars="0" w:right="0" w:rightChars="0"/>
        <w:textAlignment w:val="auto"/>
        <w:outlineLvl w:val="9"/>
        <w:rPr>
          <w:color w:val="000000"/>
        </w:rPr>
      </w:pPr>
    </w:p>
    <w:p>
      <w:pPr>
        <w:pStyle w:val="3"/>
        <w:keepNext w:val="0"/>
        <w:keepLines w:val="0"/>
        <w:pageBreakBefore w:val="0"/>
        <w:widowControl w:val="0"/>
        <w:numPr>
          <w:ilvl w:val="0"/>
          <w:numId w:val="0"/>
        </w:numPr>
        <w:kinsoku/>
        <w:wordWrap/>
        <w:overflowPunct/>
        <w:topLinePunct w:val="0"/>
        <w:autoSpaceDE/>
        <w:autoSpaceDN/>
        <w:bidi w:val="0"/>
        <w:spacing w:line="570" w:lineRule="exact"/>
        <w:ind w:right="0" w:rightChars="0"/>
        <w:jc w:val="both"/>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right="0" w:rightChars="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right="0" w:rightChars="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right="0" w:rightChars="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right="0" w:rightChars="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right="0" w:rightChars="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right="0" w:rightChars="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right="0" w:rightChars="0" w:firstLine="1440" w:firstLineChars="400"/>
        <w:jc w:val="both"/>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五、</w:t>
      </w:r>
      <w:r>
        <w:rPr>
          <w:rFonts w:hint="eastAsia" w:ascii="方正小标宋简体" w:hAnsi="方正小标宋简体" w:eastAsia="方正小标宋简体" w:cs="方正小标宋简体"/>
          <w:sz w:val="36"/>
          <w:szCs w:val="36"/>
        </w:rPr>
        <w:t>“神医”神药”</w:t>
      </w:r>
      <w:r>
        <w:rPr>
          <w:rFonts w:hint="eastAsia" w:ascii="方正小标宋简体" w:hAnsi="方正小标宋简体" w:eastAsia="方正小标宋简体" w:cs="方正小标宋简体"/>
          <w:sz w:val="36"/>
          <w:szCs w:val="36"/>
          <w:lang w:eastAsia="zh-CN"/>
        </w:rPr>
        <w:t>等</w:t>
      </w:r>
      <w:r>
        <w:rPr>
          <w:rFonts w:hint="eastAsia" w:ascii="方正小标宋简体" w:hAnsi="方正小标宋简体" w:eastAsia="方正小标宋简体" w:cs="方正小标宋简体"/>
          <w:sz w:val="36"/>
          <w:szCs w:val="36"/>
        </w:rPr>
        <w:t>虚假</w:t>
      </w:r>
      <w:r>
        <w:rPr>
          <w:rFonts w:hint="eastAsia" w:ascii="方正小标宋简体" w:hAnsi="方正小标宋简体" w:eastAsia="方正小标宋简体" w:cs="方正小标宋简体"/>
          <w:sz w:val="36"/>
          <w:szCs w:val="36"/>
          <w:lang w:eastAsia="zh-CN"/>
        </w:rPr>
        <w:t>违法</w:t>
      </w:r>
      <w:r>
        <w:rPr>
          <w:rFonts w:hint="eastAsia" w:ascii="方正小标宋简体" w:hAnsi="方正小标宋简体" w:eastAsia="方正小标宋简体" w:cs="方正小标宋简体"/>
          <w:sz w:val="36"/>
          <w:szCs w:val="36"/>
        </w:rPr>
        <w:t>广告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right="0" w:right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案件查处方案</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医疗、药品、保健食品等广告事关人民群众的生命</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依法严厉打击医疗、药品、保健食品等所谓的“神医”“神药”广告乱象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营造让群众放心、安心、舒心的广告市场氛围。</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一、重点任务</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）开展广告专项监测。</w:t>
      </w:r>
      <w:r>
        <w:rPr>
          <w:rFonts w:hint="eastAsia" w:ascii="仿宋_GB2312" w:hAnsi="仿宋_GB2312" w:eastAsia="仿宋_GB2312" w:cs="仿宋_GB2312"/>
          <w:sz w:val="32"/>
          <w:szCs w:val="32"/>
        </w:rPr>
        <w:t>结合实际，</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对辖区内传统媒体、互联网、户外媒体发布的医疗、药品、保健食品</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广告进行专项监测，</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发现</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val="en-US" w:eastAsia="zh-CN"/>
        </w:rPr>
        <w:t>涉嫌</w:t>
      </w:r>
      <w:r>
        <w:rPr>
          <w:rFonts w:hint="eastAsia" w:ascii="仿宋_GB2312" w:hAnsi="仿宋_GB2312" w:eastAsia="仿宋_GB2312" w:cs="仿宋_GB2312"/>
          <w:sz w:val="32"/>
          <w:szCs w:val="32"/>
        </w:rPr>
        <w:t>违法线索</w:t>
      </w:r>
      <w:r>
        <w:rPr>
          <w:rFonts w:hint="eastAsia" w:ascii="仿宋_GB2312" w:hAnsi="仿宋_GB2312" w:eastAsia="仿宋_GB2312" w:cs="仿宋_GB2312"/>
          <w:sz w:val="32"/>
          <w:szCs w:val="32"/>
          <w:lang w:val="en-US" w:eastAsia="zh-CN"/>
        </w:rPr>
        <w:t>依法</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val="en-US" w:eastAsia="zh-CN"/>
        </w:rPr>
        <w:t>进行处理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组织查办重点案件。</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严厉打击假扮医生、专家、教授，以介绍健康、养生知识等形式变相营销医疗、药品、保健食品等“神医”广告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严肃查处捏造事实、混淆概念、夸大效果以及保健食品宣传疾病治疗功效等各类“神药”广告。</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二、查处依据</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广告法》</w:t>
      </w:r>
      <w:r>
        <w:rPr>
          <w:rFonts w:hint="eastAsia" w:ascii="仿宋_GB2312" w:hAnsi="仿宋_GB2312" w:eastAsia="仿宋_GB2312" w:cs="仿宋_GB2312"/>
          <w:sz w:val="32"/>
          <w:szCs w:val="32"/>
          <w:lang w:val="en-US" w:eastAsia="zh-CN"/>
        </w:rPr>
        <w:t>第十六、第十七条、第十八条、第十九条，以及第五十八条、第五十九条。</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《医疗广告管理办法》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《药品、医疗器械、保健食品、特殊医学用途配方食品广告审查管理暂行办法》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有关</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（一）加强督促指导。</w:t>
      </w:r>
      <w:r>
        <w:rPr>
          <w:rFonts w:hint="eastAsia" w:ascii="仿宋_GB2312" w:hAnsi="仿宋_GB2312" w:eastAsia="仿宋_GB2312" w:cs="仿宋_GB2312"/>
          <w:sz w:val="32"/>
          <w:szCs w:val="32"/>
        </w:rPr>
        <w:t>要突出重点案件查办，加强案件</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rPr>
        <w:t>调度，及时掌握工作动态，</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违法</w:t>
      </w:r>
      <w:r>
        <w:rPr>
          <w:rFonts w:hint="eastAsia" w:ascii="仿宋_GB2312" w:hAnsi="仿宋_GB2312" w:eastAsia="仿宋_GB2312" w:cs="仿宋_GB2312"/>
          <w:sz w:val="32"/>
          <w:szCs w:val="32"/>
          <w:lang w:val="en-US" w:eastAsia="zh-CN"/>
        </w:rPr>
        <w:t>线索分析研判，</w:t>
      </w:r>
      <w:r>
        <w:rPr>
          <w:rFonts w:hint="eastAsia" w:ascii="仿宋_GB2312" w:hAnsi="仿宋_GB2312" w:eastAsia="仿宋_GB2312" w:cs="仿宋_GB2312"/>
          <w:sz w:val="32"/>
          <w:szCs w:val="32"/>
        </w:rPr>
        <w:t>发现跨区域重大案件线索及时上报。</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（二）加强行刑衔接。</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用好用足法律手段，坚决严惩相关违法主体。对于广告违法行为情节恶劣涉嫌构成犯罪的，按规定移送司法机关追究</w:t>
      </w:r>
      <w:r>
        <w:rPr>
          <w:rFonts w:hint="eastAsia" w:ascii="仿宋_GB2312" w:hAnsi="仿宋_GB2312" w:eastAsia="仿宋_GB2312" w:cs="仿宋_GB2312"/>
          <w:sz w:val="32"/>
          <w:szCs w:val="32"/>
          <w:lang w:val="en-US" w:eastAsia="zh-CN"/>
        </w:rPr>
        <w:t>刑事责任。</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（三）加强宣传引导</w:t>
      </w:r>
      <w:r>
        <w:rPr>
          <w:rFonts w:hint="eastAsia" w:ascii="楷体" w:hAnsi="楷体" w:eastAsia="楷体" w:cs="楷体"/>
          <w:sz w:val="32"/>
          <w:szCs w:val="32"/>
        </w:rPr>
        <w:t>。</w:t>
      </w:r>
      <w:r>
        <w:rPr>
          <w:rFonts w:hint="eastAsia" w:ascii="仿宋_GB2312" w:hAnsi="仿宋_GB2312" w:eastAsia="仿宋_GB2312" w:cs="仿宋_GB2312"/>
          <w:sz w:val="32"/>
          <w:szCs w:val="32"/>
        </w:rPr>
        <w:t>要加强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广告法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等法律法规普法宣传，适时曝光广告典型案例。</w:t>
      </w:r>
      <w:r>
        <w:rPr>
          <w:rFonts w:hint="eastAsia" w:ascii="仿宋_GB2312" w:hAnsi="仿宋_GB2312" w:eastAsia="仿宋_GB2312" w:cs="仿宋_GB2312"/>
          <w:sz w:val="32"/>
          <w:szCs w:val="32"/>
        </w:rPr>
        <w:t>支持行业组织发挥行业自律积极作用，鼓励社会</w:t>
      </w:r>
      <w:r>
        <w:rPr>
          <w:rFonts w:hint="eastAsia" w:ascii="仿宋_GB2312" w:hAnsi="仿宋_GB2312" w:eastAsia="仿宋_GB2312" w:cs="仿宋_GB2312"/>
          <w:sz w:val="32"/>
          <w:szCs w:val="32"/>
          <w:lang w:val="en-US" w:eastAsia="zh-CN"/>
        </w:rPr>
        <w:t>公众</w:t>
      </w:r>
      <w:r>
        <w:rPr>
          <w:rFonts w:hint="eastAsia" w:ascii="仿宋_GB2312" w:hAnsi="仿宋_GB2312" w:eastAsia="仿宋_GB2312" w:cs="仿宋_GB2312"/>
          <w:sz w:val="32"/>
          <w:szCs w:val="32"/>
        </w:rPr>
        <w:t>监督，共同维护良好市场秩序。</w:t>
      </w: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pStyle w:val="3"/>
        <w:keepNext w:val="0"/>
        <w:keepLines w:val="0"/>
        <w:pageBreakBefore w:val="0"/>
        <w:kinsoku/>
        <w:wordWrap/>
        <w:overflowPunct/>
        <w:topLinePunct w:val="0"/>
        <w:bidi w:val="0"/>
        <w:spacing w:line="570" w:lineRule="exact"/>
        <w:ind w:right="0" w:rightChars="0"/>
        <w:rPr>
          <w:rFonts w:hint="eastAsia" w:ascii="方正小标宋简体" w:eastAsia="方正小标宋简体"/>
          <w:sz w:val="44"/>
          <w:szCs w:val="32"/>
        </w:rPr>
      </w:pPr>
    </w:p>
    <w:p>
      <w:pPr>
        <w:keepNext w:val="0"/>
        <w:keepLines w:val="0"/>
        <w:pageBreakBefore w:val="0"/>
        <w:kinsoku/>
        <w:wordWrap/>
        <w:overflowPunct/>
        <w:topLinePunct w:val="0"/>
        <w:bidi w:val="0"/>
        <w:spacing w:line="570" w:lineRule="exact"/>
        <w:ind w:right="0" w:rightChars="0"/>
        <w:rPr>
          <w:rFonts w:hint="eastAsia" w:ascii="方正小标宋简体" w:eastAsia="方正小标宋简体"/>
          <w:sz w:val="44"/>
          <w:szCs w:val="32"/>
        </w:rPr>
      </w:pPr>
    </w:p>
    <w:p>
      <w:pPr>
        <w:pStyle w:val="3"/>
        <w:keepNext w:val="0"/>
        <w:keepLines w:val="0"/>
        <w:pageBreakBefore w:val="0"/>
        <w:kinsoku/>
        <w:wordWrap/>
        <w:overflowPunct/>
        <w:topLinePunct w:val="0"/>
        <w:bidi w:val="0"/>
        <w:spacing w:line="570" w:lineRule="exact"/>
        <w:ind w:right="0" w:rightChars="0"/>
        <w:rPr>
          <w:rFonts w:hint="eastAsia" w:ascii="方正小标宋简体" w:eastAsia="方正小标宋简体"/>
          <w:sz w:val="44"/>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p>
    <w:p>
      <w:pPr>
        <w:pStyle w:val="3"/>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3"/>
        <w:rPr>
          <w:rFonts w:hint="eastAsia" w:ascii="方正小标宋简体" w:hAnsi="方正小标宋简体" w:eastAsia="方正小标宋简体" w:cs="方正小标宋简体"/>
          <w:sz w:val="44"/>
          <w:szCs w:val="44"/>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六、医疗美容</w:t>
      </w:r>
      <w:r>
        <w:rPr>
          <w:rFonts w:hint="eastAsia" w:ascii="方正小标宋简体" w:hAnsi="方正小标宋简体" w:eastAsia="方正小标宋简体" w:cs="方正小标宋简体"/>
          <w:sz w:val="36"/>
          <w:szCs w:val="36"/>
          <w:u w:val="none"/>
          <w:lang w:val="en-US" w:eastAsia="zh-CN"/>
        </w:rPr>
        <w:t>领域</w:t>
      </w:r>
      <w:r>
        <w:rPr>
          <w:rFonts w:hint="eastAsia" w:ascii="方正小标宋简体" w:hAnsi="方正小标宋简体" w:eastAsia="方正小标宋简体" w:cs="方正小标宋简体"/>
          <w:sz w:val="36"/>
          <w:szCs w:val="36"/>
          <w:lang w:val="en-US" w:eastAsia="zh-CN"/>
        </w:rPr>
        <w:t>虚假宣传案件查处方案</w:t>
      </w:r>
    </w:p>
    <w:p>
      <w:pPr>
        <w:keepNext w:val="0"/>
        <w:keepLines w:val="0"/>
        <w:pageBreakBefore w:val="0"/>
        <w:widowControl w:val="0"/>
        <w:kinsoku/>
        <w:wordWrap/>
        <w:overflowPunct/>
        <w:topLinePunct w:val="0"/>
        <w:autoSpaceDE/>
        <w:autoSpaceDN/>
        <w:bidi w:val="0"/>
        <w:adjustRightInd/>
        <w:snapToGrid/>
        <w:spacing w:line="570" w:lineRule="exact"/>
        <w:ind w:right="0" w:right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近年来，随着医疗技术发展和人民群众的消费升级，以医疗美容为代表的消费需求持续增长，已成为除基本生活消费之外，主要消费热点之一。为规范医疗美容市场秩序，促进消费升级，满足人民群众对美好生活的需求，必须持续加大医疗美容市场执法力度，严厉查处虚假宣传等不正当竞争行为。</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一、查处重点</w:t>
      </w:r>
    </w:p>
    <w:p>
      <w:pPr>
        <w:keepNext w:val="0"/>
        <w:keepLines w:val="0"/>
        <w:pageBreakBefore w:val="0"/>
        <w:widowControl w:val="0"/>
        <w:kinsoku/>
        <w:wordWrap/>
        <w:overflowPunct/>
        <w:topLinePunct w:val="0"/>
        <w:autoSpaceDE/>
        <w:autoSpaceDN/>
        <w:bidi w:val="0"/>
        <w:adjustRightInd/>
        <w:snapToGrid/>
        <w:spacing w:line="570" w:lineRule="exact"/>
        <w:ind w:right="0" w:rightChars="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（一）查处夸大或虚构医疗美容机构资质、曾获荣誉、产品设备先进程度等虚假宣传行为。</w:t>
      </w:r>
    </w:p>
    <w:p>
      <w:pPr>
        <w:keepNext w:val="0"/>
        <w:keepLines w:val="0"/>
        <w:pageBreakBefore w:val="0"/>
        <w:widowControl w:val="0"/>
        <w:kinsoku/>
        <w:wordWrap/>
        <w:overflowPunct/>
        <w:topLinePunct w:val="0"/>
        <w:autoSpaceDE/>
        <w:autoSpaceDN/>
        <w:bidi w:val="0"/>
        <w:adjustRightInd/>
        <w:snapToGrid/>
        <w:spacing w:line="57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（二）查处夸大或虚构医疗美容机构工作人员资历、医疗美容水平等虚假宣传行为。</w:t>
      </w:r>
    </w:p>
    <w:p>
      <w:pPr>
        <w:keepNext w:val="0"/>
        <w:keepLines w:val="0"/>
        <w:pageBreakBefore w:val="0"/>
        <w:widowControl w:val="0"/>
        <w:kinsoku/>
        <w:wordWrap/>
        <w:overflowPunct/>
        <w:topLinePunct w:val="0"/>
        <w:autoSpaceDE/>
        <w:autoSpaceDN/>
        <w:bidi w:val="0"/>
        <w:adjustRightInd/>
        <w:snapToGrid/>
        <w:spacing w:line="57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（三）查处夸大或虚构医疗美容效果等虚假宣传行为。</w:t>
      </w:r>
    </w:p>
    <w:p>
      <w:pPr>
        <w:keepNext w:val="0"/>
        <w:keepLines w:val="0"/>
        <w:pageBreakBefore w:val="0"/>
        <w:widowControl w:val="0"/>
        <w:kinsoku/>
        <w:wordWrap/>
        <w:overflowPunct/>
        <w:topLinePunct w:val="0"/>
        <w:autoSpaceDE/>
        <w:autoSpaceDN/>
        <w:bidi w:val="0"/>
        <w:adjustRightInd/>
        <w:snapToGrid/>
        <w:spacing w:line="57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（四）查处通过“刷单炒信”，编造用户评价、直播带货等方式虚构交易、虚假评价的虚假宣传行为。</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二、查处依据</w:t>
      </w:r>
    </w:p>
    <w:p>
      <w:pPr>
        <w:keepNext w:val="0"/>
        <w:keepLines w:val="0"/>
        <w:pageBreakBefore w:val="0"/>
        <w:widowControl w:val="0"/>
        <w:kinsoku/>
        <w:wordWrap/>
        <w:overflowPunct/>
        <w:topLinePunct w:val="0"/>
        <w:autoSpaceDE/>
        <w:autoSpaceDN/>
        <w:bidi w:val="0"/>
        <w:adjustRightInd/>
        <w:snapToGrid/>
        <w:spacing w:line="570" w:lineRule="exact"/>
        <w:ind w:right="0" w:rightChars="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《中华人民共和国反不正当竞争法》第八条、第二十条。</w:t>
      </w:r>
    </w:p>
    <w:p>
      <w:pPr>
        <w:keepNext w:val="0"/>
        <w:keepLines w:val="0"/>
        <w:pageBreakBefore w:val="0"/>
        <w:widowControl w:val="0"/>
        <w:kinsoku/>
        <w:wordWrap/>
        <w:overflowPunct/>
        <w:topLinePunct w:val="0"/>
        <w:autoSpaceDE/>
        <w:autoSpaceDN/>
        <w:bidi w:val="0"/>
        <w:adjustRightInd/>
        <w:snapToGrid/>
        <w:spacing w:line="570" w:lineRule="exact"/>
        <w:ind w:right="0" w:righ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（一）加强部门协同，形成监管合力。</w:t>
      </w:r>
      <w:r>
        <w:rPr>
          <w:rFonts w:hint="eastAsia" w:ascii="仿宋_GB2312" w:hAnsi="仿宋_GB2312" w:eastAsia="仿宋_GB2312" w:cs="仿宋_GB2312"/>
          <w:sz w:val="32"/>
          <w:szCs w:val="32"/>
          <w:lang w:val="en-US" w:eastAsia="zh-CN"/>
        </w:rPr>
        <w:t xml:space="preserve">在执法过程中，要加强同卫生、公安等部门配合，对其他部门转来的案件线索，要及时组织调查，依法查处。发现其他部门管辖的案件线索，要及时移送有关部门查处。    </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（二）加大查处力度，震慑违法行为。</w:t>
      </w:r>
      <w:r>
        <w:rPr>
          <w:rFonts w:hint="eastAsia" w:ascii="仿宋_GB2312" w:hAnsi="仿宋_GB2312" w:eastAsia="仿宋_GB2312" w:cs="仿宋_GB2312"/>
          <w:sz w:val="32"/>
          <w:szCs w:val="32"/>
          <w:lang w:val="en-US" w:eastAsia="zh-CN"/>
        </w:rPr>
        <w:t>要对医疗美容机构虚假宣传行为始终保持高压严打态势，情节严重、影响恶劣的，要坚决曝光，达到重罚一家，震慑一片的效果。</w:t>
      </w:r>
    </w:p>
    <w:p>
      <w:pPr>
        <w:keepNext w:val="0"/>
        <w:keepLines w:val="0"/>
        <w:pageBreakBefore w:val="0"/>
        <w:widowControl w:val="0"/>
        <w:kinsoku/>
        <w:wordWrap/>
        <w:overflowPunct/>
        <w:topLinePunct w:val="0"/>
        <w:autoSpaceDE/>
        <w:autoSpaceDN/>
        <w:bidi w:val="0"/>
        <w:adjustRightInd/>
        <w:snapToGrid/>
        <w:spacing w:line="570" w:lineRule="exact"/>
        <w:ind w:right="0" w:rightChars="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（三）鼓励社会监督，建立长效机制。</w:t>
      </w:r>
      <w:r>
        <w:rPr>
          <w:rFonts w:hint="eastAsia" w:ascii="仿宋_GB2312" w:hAnsi="仿宋_GB2312" w:eastAsia="仿宋_GB2312" w:cs="仿宋_GB2312"/>
          <w:sz w:val="32"/>
          <w:szCs w:val="32"/>
          <w:lang w:val="en-US" w:eastAsia="zh-CN"/>
        </w:rPr>
        <w:t>不断完善投诉举报渠道，充分发挥社会监督作用，对人民群众每一条有效投诉举报线索，都要严格依法处置，不断增强人民群众维权意识和信心。在依法查处医疗美容机构虚假宣传行为的同时，要督促其切实改正违法行为，确保消除不良影响，防范引发形成负面社会舆论。</w:t>
      </w: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pStyle w:val="9"/>
        <w:keepNext w:val="0"/>
        <w:keepLines w:val="0"/>
        <w:pageBreakBefore w:val="0"/>
        <w:numPr>
          <w:ilvl w:val="0"/>
          <w:numId w:val="0"/>
        </w:numPr>
        <w:kinsoku/>
        <w:wordWrap/>
        <w:overflowPunct/>
        <w:topLinePunct w:val="0"/>
        <w:autoSpaceDE/>
        <w:autoSpaceDN/>
        <w:bidi w:val="0"/>
        <w:spacing w:line="57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44"/>
          <w:szCs w:val="32"/>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36"/>
          <w:szCs w:val="36"/>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36"/>
          <w:szCs w:val="36"/>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36"/>
          <w:szCs w:val="36"/>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eastAsia="方正小标宋简体"/>
          <w:sz w:val="36"/>
          <w:szCs w:val="36"/>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eastAsia="方正小标宋简体"/>
          <w:sz w:val="36"/>
          <w:szCs w:val="36"/>
        </w:rPr>
      </w:pPr>
      <w:r>
        <w:rPr>
          <w:rFonts w:hint="eastAsia" w:ascii="方正小标宋简体" w:eastAsia="方正小标宋简体"/>
          <w:sz w:val="36"/>
          <w:szCs w:val="36"/>
        </w:rPr>
        <w:t>七、翻新“黑气瓶”违法案件查处方案</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液化石油气瓶事关人民群众生命、财产安全，与人民生产生活密切相关，要进一步巩固2021年“铁拳”行动成果，做好燃气气瓶安全监管工作，加大燃气气瓶违法行为查处力度，对气瓶充装违法行为形成有效震慑。</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ascii="黑体" w:hAnsi="黑体" w:eastAsia="黑体"/>
          <w:sz w:val="32"/>
          <w:szCs w:val="32"/>
        </w:rPr>
      </w:pPr>
      <w:r>
        <w:rPr>
          <w:rFonts w:hint="eastAsia" w:ascii="黑体" w:hAnsi="黑体" w:eastAsia="黑体"/>
          <w:sz w:val="32"/>
          <w:szCs w:val="32"/>
        </w:rPr>
        <w:t>一、查处重点</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ascii="仿宋_GB2312" w:eastAsia="仿宋_GB2312"/>
          <w:sz w:val="32"/>
          <w:szCs w:val="32"/>
        </w:rPr>
      </w:pPr>
      <w:r>
        <w:rPr>
          <w:rFonts w:hint="eastAsia" w:ascii="楷体" w:hAnsi="楷体" w:eastAsia="楷体"/>
          <w:sz w:val="32"/>
          <w:szCs w:val="32"/>
        </w:rPr>
        <w:t>（一）开展液化石油气瓶充装单位检查</w:t>
      </w:r>
      <w:r>
        <w:rPr>
          <w:rFonts w:hint="eastAsia" w:ascii="仿宋_GB2312" w:eastAsia="仿宋_GB2312"/>
          <w:sz w:val="32"/>
          <w:szCs w:val="32"/>
        </w:rPr>
        <w:t>。重点查处液化石油气瓶充装单位购置和充装翻新“黑气瓶”、充装非自有产权气瓶、充装其他不符合安全技术规范的液化石油气瓶等违法行为。</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ascii="仿宋_GB2312" w:eastAsia="仿宋_GB2312"/>
          <w:sz w:val="32"/>
          <w:szCs w:val="32"/>
        </w:rPr>
      </w:pPr>
      <w:r>
        <w:rPr>
          <w:rFonts w:hint="eastAsia" w:ascii="楷体" w:hAnsi="楷体" w:eastAsia="楷体"/>
          <w:sz w:val="32"/>
          <w:szCs w:val="32"/>
        </w:rPr>
        <w:t>（二）加强液化石油气瓶检验机构检查</w:t>
      </w:r>
      <w:r>
        <w:rPr>
          <w:rFonts w:hint="eastAsia" w:ascii="仿宋_GB2312" w:eastAsia="仿宋_GB2312"/>
          <w:sz w:val="32"/>
          <w:szCs w:val="32"/>
        </w:rPr>
        <w:t>。重点查处检验机构翻新“黑气瓶”、销售已报废但未经去功能化处理的气瓶，以及出具虚假检验数据、检验报告等违法行为。对发现收购、销售未经去功能化处理的报废液化石油气瓶，予以查封、扣押并进行去功能化处理。</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ascii="仿宋_GB2312" w:eastAsia="仿宋_GB2312"/>
          <w:sz w:val="32"/>
          <w:szCs w:val="32"/>
        </w:rPr>
      </w:pPr>
      <w:r>
        <w:rPr>
          <w:rFonts w:hint="eastAsia" w:ascii="楷体" w:hAnsi="楷体" w:eastAsia="楷体"/>
          <w:sz w:val="32"/>
          <w:szCs w:val="32"/>
        </w:rPr>
        <w:t>（三）重点检查充装安全追溯平台建设情况</w:t>
      </w:r>
      <w:r>
        <w:rPr>
          <w:rFonts w:hint="eastAsia" w:ascii="仿宋_GB2312" w:eastAsia="仿宋_GB2312"/>
          <w:sz w:val="32"/>
          <w:szCs w:val="32"/>
        </w:rPr>
        <w:t>。查处液化石油气瓶充装单位未建立气瓶安全追溯平台或无法通过手机扫描查询充装数据信息的行为，应责令限期整改，逾期不整改的，按照不再具备许可条件收回充装许可。</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ascii="黑体" w:hAnsi="黑体" w:eastAsia="黑体"/>
          <w:sz w:val="32"/>
          <w:szCs w:val="32"/>
        </w:rPr>
      </w:pPr>
      <w:r>
        <w:rPr>
          <w:rFonts w:hint="eastAsia" w:ascii="黑体" w:hAnsi="黑体" w:eastAsia="黑体"/>
          <w:sz w:val="32"/>
          <w:szCs w:val="32"/>
        </w:rPr>
        <w:t>二、查处依据</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（一）《中华人民共和国特种设备安全法》第八十二条、第八十五条、第九十三条等。</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（二）《特种设备安全监察条例》第八十二条、第八十四条、第九十二条、第九十三条等。</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（三）《气瓶安全技术规程》（TSG 23-2021）。</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（四）《液化石油气钢瓶》（GB/T 5842-2006）。</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（五）《特种设备生产和充装单位许可规则》（TSG 07-2019）。</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ascii="黑体" w:hAnsi="黑体" w:eastAsia="黑体"/>
          <w:sz w:val="32"/>
          <w:szCs w:val="32"/>
        </w:rPr>
      </w:pPr>
      <w:r>
        <w:rPr>
          <w:rFonts w:hint="eastAsia" w:ascii="黑体" w:hAnsi="黑体" w:eastAsia="黑体"/>
          <w:sz w:val="32"/>
          <w:szCs w:val="32"/>
        </w:rPr>
        <w:t>三、有关要求</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（一）加大信息数据搜集力度，多渠道获取办案线索，将有关投诉举报、舆情信息等作为案件线索，落实属地查处，推动社会共治。畅通举报渠道，做到精准打击违法行为。</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（二）采取“四不两直”和“飞行检查”等方式加大监管力度，对各类气瓶充装违法违规行为依法严厉处罚，并及时向社会公布案件信息。</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（三）加强与应急、住建、商务等部门的协作配合，加强信息沟通，倒查充装单位充装行为是否合法合规，形成执法合力。</w:t>
      </w:r>
    </w:p>
    <w:p>
      <w:pPr>
        <w:pStyle w:val="3"/>
        <w:keepNext w:val="0"/>
        <w:keepLines w:val="0"/>
        <w:pageBreakBefore w:val="0"/>
        <w:kinsoku/>
        <w:wordWrap/>
        <w:overflowPunct/>
        <w:topLinePunct w:val="0"/>
        <w:autoSpaceDE/>
        <w:autoSpaceDN/>
        <w:bidi w:val="0"/>
        <w:spacing w:line="570" w:lineRule="exact"/>
        <w:ind w:right="0" w:rightChars="0"/>
        <w:textAlignment w:val="auto"/>
      </w:pP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八、劣质燃气具违法案件查处方案</w:t>
      </w:r>
    </w:p>
    <w:p>
      <w:pPr>
        <w:keepNext w:val="0"/>
        <w:keepLines w:val="0"/>
        <w:pageBreakBefore w:val="0"/>
        <w:widowControl/>
        <w:suppressLineNumbers w:val="0"/>
        <w:kinsoku/>
        <w:wordWrap/>
        <w:overflowPunct/>
        <w:topLinePunct w:val="0"/>
        <w:autoSpaceDE/>
        <w:autoSpaceDN/>
        <w:bidi w:val="0"/>
        <w:adjustRightInd/>
        <w:snapToGrid/>
        <w:spacing w:line="570" w:lineRule="exact"/>
        <w:ind w:right="0" w:rightChars="0"/>
        <w:jc w:val="left"/>
        <w:textAlignment w:val="auto"/>
        <w:rPr>
          <w:rFonts w:hint="eastAsia" w:ascii="CESI仿宋-GB2312" w:hAnsi="CESI仿宋-GB2312" w:eastAsia="CESI仿宋-GB2312" w:cs="CESI仿宋-GB2312"/>
          <w:i w:val="0"/>
          <w:caps w:val="0"/>
          <w:color w:val="333333"/>
          <w:spacing w:val="0"/>
          <w:kern w:val="0"/>
          <w:sz w:val="28"/>
          <w:szCs w:val="28"/>
          <w:lang w:val="en-US" w:eastAsia="zh-CN" w:bidi="ar"/>
        </w:rPr>
      </w:pP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近年来，一些燃气具厂家为抢占市场，追求利润，采用低劣零部件和不合格原材料生产组装燃气具，推出价低质劣的不合格产品，埋下严重的安全隐患。</w:t>
      </w:r>
      <w:r>
        <w:rPr>
          <w:rFonts w:hint="eastAsia" w:ascii="仿宋_GB2312" w:eastAsia="仿宋_GB2312"/>
          <w:sz w:val="32"/>
          <w:szCs w:val="32"/>
          <w:lang w:eastAsia="zh-CN"/>
        </w:rPr>
        <w:t>要切实加强</w:t>
      </w:r>
      <w:r>
        <w:rPr>
          <w:rFonts w:hint="eastAsia" w:ascii="仿宋_GB2312" w:eastAsia="仿宋_GB2312"/>
          <w:sz w:val="32"/>
          <w:szCs w:val="32"/>
          <w:lang w:val="en-US" w:eastAsia="zh-CN"/>
        </w:rPr>
        <w:t>燃气具</w:t>
      </w:r>
      <w:r>
        <w:rPr>
          <w:rFonts w:hint="eastAsia" w:ascii="仿宋_GB2312" w:eastAsia="仿宋_GB2312"/>
          <w:sz w:val="32"/>
          <w:szCs w:val="32"/>
          <w:lang w:eastAsia="zh-CN"/>
        </w:rPr>
        <w:t>质量的监管执法，严厉打击</w:t>
      </w:r>
      <w:r>
        <w:rPr>
          <w:rFonts w:hint="eastAsia" w:ascii="仿宋_GB2312" w:eastAsia="仿宋_GB2312"/>
          <w:sz w:val="32"/>
          <w:szCs w:val="32"/>
          <w:lang w:val="en-US" w:eastAsia="zh-CN"/>
        </w:rPr>
        <w:t>劣质燃气具</w:t>
      </w:r>
      <w:r>
        <w:rPr>
          <w:rFonts w:hint="eastAsia" w:ascii="仿宋_GB2312" w:eastAsia="仿宋_GB2312"/>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right="0" w:rightChars="0" w:firstLine="640" w:firstLineChars="200"/>
        <w:jc w:val="both"/>
        <w:textAlignment w:val="auto"/>
        <w:rPr>
          <w:rFonts w:hint="default" w:ascii="CESI仿宋-GB2312" w:hAnsi="CESI仿宋-GB2312" w:eastAsia="CESI仿宋-GB2312" w:cs="CESI仿宋-GB2312"/>
          <w:i w:val="0"/>
          <w:caps w:val="0"/>
          <w:color w:val="333333"/>
          <w:spacing w:val="0"/>
          <w:kern w:val="0"/>
          <w:sz w:val="28"/>
          <w:szCs w:val="28"/>
          <w:lang w:val="en-US" w:eastAsia="zh-CN" w:bidi="ar"/>
        </w:rPr>
      </w:pPr>
      <w:r>
        <w:rPr>
          <w:rFonts w:hint="eastAsia" w:ascii="黑体" w:hAnsi="黑体" w:eastAsia="黑体" w:cs="黑体"/>
          <w:i w:val="0"/>
          <w:caps w:val="0"/>
          <w:color w:val="333333"/>
          <w:spacing w:val="0"/>
          <w:kern w:val="0"/>
          <w:sz w:val="32"/>
          <w:szCs w:val="32"/>
          <w:lang w:val="en-US" w:eastAsia="zh-CN" w:bidi="ar"/>
        </w:rPr>
        <w:t>一、查处重点</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（一）严厉查处生产不符合国家标准要求的燃气具违法行为。</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）严厉查处生产以次充好、以假充真、掺杂掺假</w:t>
      </w:r>
      <w:r>
        <w:rPr>
          <w:rFonts w:hint="eastAsia" w:ascii="仿宋_GB2312" w:eastAsia="仿宋_GB2312"/>
          <w:sz w:val="32"/>
          <w:szCs w:val="32"/>
          <w:lang w:val="en-US" w:eastAsia="zh-CN"/>
        </w:rPr>
        <w:t>或者以不合格冒充合格燃气具等违法行为。</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（三）严厉查处伪造产地、伪造或者冒用厂名厂址、伪造或者冒用认证标志等质量标志的燃气具违法行为。</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（四）严厉查处未取得3C认证，擅自出厂、销售或者在其他经营活动中使用燃气具，伪造、冒用、买卖认证证书等违法行为。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0" w:right="0" w:rightChars="0" w:firstLine="640" w:firstLineChars="200"/>
        <w:jc w:val="both"/>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二、查处依据</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（一）依据《产品质量法》第四十九条、第五十条、第五十一条、第五十三条、第五十四条等规定作出处罚。</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（二）依据《认证认可条例》第六十六条、第七十条等规定作出处罚。</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（三）依据《强制性产品认证管理规定》第四十九条等规定作出处罚。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0" w:right="0" w:rightChars="0" w:firstLine="640" w:firstLineChars="200"/>
        <w:jc w:val="both"/>
        <w:textAlignment w:val="auto"/>
        <w:rPr>
          <w:rFonts w:hint="eastAsia" w:ascii="CESI仿宋-GB2312" w:hAnsi="CESI仿宋-GB2312" w:eastAsia="CESI仿宋-GB2312" w:cs="CESI仿宋-GB2312"/>
          <w:i w:val="0"/>
          <w:caps w:val="0"/>
          <w:color w:val="333333"/>
          <w:spacing w:val="0"/>
          <w:kern w:val="0"/>
          <w:sz w:val="28"/>
          <w:szCs w:val="28"/>
          <w:lang w:val="en-US" w:eastAsia="zh-CN" w:bidi="ar"/>
        </w:rPr>
      </w:pPr>
      <w:r>
        <w:rPr>
          <w:rFonts w:hint="eastAsia" w:ascii="黑体" w:hAnsi="黑体" w:eastAsia="黑体" w:cs="黑体"/>
          <w:i w:val="0"/>
          <w:caps w:val="0"/>
          <w:color w:val="333333"/>
          <w:spacing w:val="0"/>
          <w:kern w:val="0"/>
          <w:sz w:val="32"/>
          <w:szCs w:val="32"/>
          <w:lang w:val="en-US" w:eastAsia="zh-CN" w:bidi="ar"/>
        </w:rPr>
        <w:t>三、有关要求</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（一）聚焦产业集中地、专业批发市场、城乡结合部销售市场（集市集散地、建材装饰市场），对发现的案件线索，加大查处力度，一查到底，涉嫌犯罪的及时移司法机关处理。</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（二）加大系统内信息数据通报、搜集力度，落实属地查处，涉及外部门监管职责的及时通报，形成执法合力。</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华文中宋"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华文中宋"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华文中宋"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华文中宋"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华文中宋"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华文中宋"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华文中宋" w:eastAsia="方正小标宋简体" w:cs="方正小标宋简体"/>
          <w:sz w:val="44"/>
          <w:szCs w:val="44"/>
        </w:rPr>
      </w:pPr>
    </w:p>
    <w:p>
      <w:pPr>
        <w:pStyle w:val="9"/>
        <w:keepNext w:val="0"/>
        <w:keepLines w:val="0"/>
        <w:pageBreakBefore w:val="0"/>
        <w:numPr>
          <w:ilvl w:val="0"/>
          <w:numId w:val="0"/>
        </w:numPr>
        <w:kinsoku/>
        <w:wordWrap/>
        <w:overflowPunct/>
        <w:topLinePunct w:val="0"/>
        <w:autoSpaceDE/>
        <w:autoSpaceDN/>
        <w:bidi w:val="0"/>
        <w:spacing w:line="57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华文中宋"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华文中宋"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华文中宋"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华文中宋"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华文中宋"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华文中宋"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line="590" w:lineRule="exact"/>
        <w:ind w:left="0" w:leftChars="0" w:right="0" w:rightChars="0"/>
        <w:jc w:val="center"/>
        <w:textAlignment w:val="auto"/>
        <w:outlineLvl w:val="9"/>
        <w:rPr>
          <w:rFonts w:hint="eastAsia" w:ascii="方正小标宋简体" w:hAnsi="华文中宋" w:eastAsia="方正小标宋简体" w:cs="方正小标宋简体"/>
          <w:sz w:val="36"/>
          <w:szCs w:val="36"/>
        </w:rPr>
      </w:pPr>
    </w:p>
    <w:p>
      <w:pPr>
        <w:keepNext w:val="0"/>
        <w:keepLines w:val="0"/>
        <w:pageBreakBefore w:val="0"/>
        <w:widowControl w:val="0"/>
        <w:kinsoku/>
        <w:wordWrap/>
        <w:overflowPunct/>
        <w:topLinePunct w:val="0"/>
        <w:autoSpaceDE/>
        <w:autoSpaceDN/>
        <w:bidi w:val="0"/>
        <w:spacing w:line="590" w:lineRule="exact"/>
        <w:ind w:left="0" w:leftChars="0" w:right="0" w:rightChars="0"/>
        <w:jc w:val="center"/>
        <w:textAlignment w:val="auto"/>
        <w:outlineLvl w:val="9"/>
        <w:rPr>
          <w:rFonts w:hint="eastAsia" w:ascii="方正小标宋简体" w:hAnsi="华文中宋" w:eastAsia="方正小标宋简体" w:cs="方正小标宋简体"/>
          <w:sz w:val="36"/>
          <w:szCs w:val="36"/>
        </w:rPr>
      </w:pPr>
    </w:p>
    <w:p>
      <w:pPr>
        <w:keepNext w:val="0"/>
        <w:keepLines w:val="0"/>
        <w:pageBreakBefore w:val="0"/>
        <w:widowControl w:val="0"/>
        <w:kinsoku/>
        <w:wordWrap/>
        <w:overflowPunct/>
        <w:topLinePunct w:val="0"/>
        <w:autoSpaceDE/>
        <w:autoSpaceDN/>
        <w:bidi w:val="0"/>
        <w:spacing w:line="590" w:lineRule="exact"/>
        <w:ind w:left="0" w:leftChars="0" w:right="0" w:rightChars="0"/>
        <w:jc w:val="center"/>
        <w:textAlignment w:val="auto"/>
        <w:outlineLvl w:val="9"/>
        <w:rPr>
          <w:rFonts w:hint="eastAsia" w:ascii="方正小标宋简体" w:hAnsi="华文中宋" w:eastAsia="方正小标宋简体" w:cs="方正小标宋简体"/>
          <w:sz w:val="36"/>
          <w:szCs w:val="36"/>
        </w:rPr>
      </w:pPr>
    </w:p>
    <w:p>
      <w:pPr>
        <w:keepNext w:val="0"/>
        <w:keepLines w:val="0"/>
        <w:pageBreakBefore w:val="0"/>
        <w:widowControl w:val="0"/>
        <w:kinsoku/>
        <w:wordWrap/>
        <w:overflowPunct/>
        <w:topLinePunct w:val="0"/>
        <w:autoSpaceDE/>
        <w:autoSpaceDN/>
        <w:bidi w:val="0"/>
        <w:spacing w:line="590" w:lineRule="exact"/>
        <w:ind w:left="0" w:leftChars="0" w:right="0" w:rightChars="0"/>
        <w:jc w:val="center"/>
        <w:textAlignment w:val="auto"/>
        <w:outlineLvl w:val="9"/>
        <w:rPr>
          <w:rFonts w:hint="eastAsia" w:ascii="方正小标宋简体" w:hAnsi="华文中宋" w:eastAsia="方正小标宋简体" w:cs="方正小标宋简体"/>
          <w:sz w:val="36"/>
          <w:szCs w:val="36"/>
        </w:rPr>
      </w:pPr>
    </w:p>
    <w:p>
      <w:pPr>
        <w:pStyle w:val="3"/>
        <w:rPr>
          <w:rFonts w:hint="eastAsia"/>
        </w:rPr>
      </w:pPr>
    </w:p>
    <w:p>
      <w:pPr>
        <w:keepNext w:val="0"/>
        <w:keepLines w:val="0"/>
        <w:pageBreakBefore w:val="0"/>
        <w:widowControl w:val="0"/>
        <w:kinsoku/>
        <w:wordWrap/>
        <w:overflowPunct/>
        <w:topLinePunct w:val="0"/>
        <w:autoSpaceDE/>
        <w:autoSpaceDN/>
        <w:bidi w:val="0"/>
        <w:spacing w:line="590" w:lineRule="exact"/>
        <w:ind w:left="0" w:leftChars="0" w:right="0" w:rightChars="0"/>
        <w:jc w:val="center"/>
        <w:textAlignment w:val="auto"/>
        <w:outlineLvl w:val="9"/>
        <w:rPr>
          <w:rFonts w:ascii="方正小标宋简体" w:hAnsi="华文中宋" w:eastAsia="方正小标宋简体" w:cs="方正小标宋简体"/>
          <w:sz w:val="36"/>
          <w:szCs w:val="36"/>
        </w:rPr>
      </w:pPr>
      <w:r>
        <w:rPr>
          <w:rFonts w:hint="eastAsia" w:ascii="方正小标宋简体" w:hAnsi="华文中宋" w:eastAsia="方正小标宋简体" w:cs="方正小标宋简体"/>
          <w:sz w:val="36"/>
          <w:szCs w:val="36"/>
        </w:rPr>
        <w:t>九、超期未检电梯案件查处方案</w:t>
      </w:r>
    </w:p>
    <w:p>
      <w:pPr>
        <w:keepNext w:val="0"/>
        <w:keepLines w:val="0"/>
        <w:pageBreakBefore w:val="0"/>
        <w:widowControl w:val="0"/>
        <w:kinsoku/>
        <w:wordWrap/>
        <w:overflowPunct/>
        <w:topLinePunct w:val="0"/>
        <w:autoSpaceDE/>
        <w:autoSpaceDN/>
        <w:bidi w:val="0"/>
        <w:spacing w:line="590" w:lineRule="exact"/>
        <w:ind w:left="0" w:leftChars="0" w:right="0" w:rightChars="0" w:firstLine="880" w:firstLineChars="200"/>
        <w:textAlignment w:val="auto"/>
        <w:outlineLvl w:val="9"/>
        <w:rPr>
          <w:rFonts w:ascii="方正小标宋简体" w:hAnsi="华文中宋"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line="59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做好电梯定期检验工作，是电梯安全运行的重要保障。使用超期未检电梯是重大安全隐患，必须引起高度重视，要进一步强化电梯监管并跟进执法，</w:t>
      </w:r>
      <w:r>
        <w:rPr>
          <w:rFonts w:ascii="仿宋_GB2312" w:hAnsi="仿宋_GB2312" w:eastAsia="仿宋_GB2312" w:cs="仿宋_GB2312"/>
          <w:sz w:val="32"/>
          <w:szCs w:val="32"/>
        </w:rPr>
        <w:t>消除</w:t>
      </w:r>
      <w:r>
        <w:rPr>
          <w:rFonts w:hint="eastAsia" w:ascii="仿宋_GB2312" w:hAnsi="仿宋_GB2312" w:eastAsia="仿宋_GB2312" w:cs="仿宋_GB2312"/>
          <w:sz w:val="32"/>
          <w:szCs w:val="32"/>
        </w:rPr>
        <w:t>电梯超期</w:t>
      </w:r>
      <w:r>
        <w:rPr>
          <w:rFonts w:ascii="仿宋_GB2312" w:hAnsi="仿宋_GB2312" w:eastAsia="仿宋_GB2312" w:cs="仿宋_GB2312"/>
          <w:sz w:val="32"/>
          <w:szCs w:val="32"/>
        </w:rPr>
        <w:t>未检带来的安全隐患，预防和减少事故发生，确保</w:t>
      </w:r>
      <w:r>
        <w:rPr>
          <w:rFonts w:hint="eastAsia" w:ascii="仿宋_GB2312" w:hAnsi="仿宋_GB2312" w:eastAsia="仿宋_GB2312" w:cs="仿宋_GB2312"/>
          <w:sz w:val="32"/>
          <w:szCs w:val="32"/>
        </w:rPr>
        <w:t>电梯</w:t>
      </w:r>
      <w:r>
        <w:rPr>
          <w:rFonts w:ascii="仿宋_GB2312" w:hAnsi="仿宋_GB2312" w:eastAsia="仿宋_GB2312" w:cs="仿宋_GB2312"/>
          <w:sz w:val="32"/>
          <w:szCs w:val="32"/>
        </w:rPr>
        <w:t>安全运行</w:t>
      </w:r>
      <w:r>
        <w:rPr>
          <w:rFonts w:hint="eastAsia" w:ascii="仿宋_GB2312" w:hAnsi="仿宋_GB2312" w:eastAsia="仿宋_GB2312" w:cs="仿宋_GB231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一、查处重点</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（一）严厉查处未按照安全技术规范的要求及时申报并接受检验等违法行为。</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（二）严厉查处使用未经检验或者检验不合格电梯等违法行为。</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（三）严厉查处未按照安全技术规范的要求进行检验、检测等违法行为。</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二、查处依据</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val="en-US" w:eastAsia="zh-CN"/>
        </w:rPr>
        <w:t>中华人民共和国</w:t>
      </w:r>
      <w:bookmarkStart w:id="0" w:name="_GoBack"/>
      <w:bookmarkEnd w:id="0"/>
      <w:r>
        <w:rPr>
          <w:rFonts w:hint="eastAsia" w:ascii="仿宋_GB2312" w:hAnsi="仿宋_GB2312" w:eastAsia="仿宋_GB2312" w:cs="仿宋_GB2312"/>
          <w:sz w:val="32"/>
          <w:szCs w:val="32"/>
        </w:rPr>
        <w:t>特种设备安全法》第八十三条、第八十四条、第九十三条等规定作出处罚。</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三、案件来源</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一是电梯日常监督检查；二是群众投诉举报；三是有关部门移送案件线索。</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left="0" w:leftChars="0" w:right="0" w:righ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四、有关要求</w:t>
      </w:r>
    </w:p>
    <w:p>
      <w:pPr>
        <w:keepNext w:val="0"/>
        <w:keepLines w:val="0"/>
        <w:pageBreakBefore w:val="0"/>
        <w:widowControl w:val="0"/>
        <w:kinsoku/>
        <w:wordWrap/>
        <w:overflowPunct/>
        <w:topLinePunct w:val="0"/>
        <w:autoSpaceDE/>
        <w:autoSpaceDN/>
        <w:bidi w:val="0"/>
        <w:adjustRightInd w:val="0"/>
        <w:spacing w:line="570" w:lineRule="exact"/>
        <w:ind w:left="0" w:leftChars="0" w:right="0" w:rightChars="0" w:firstLine="645"/>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（一）坚持问题导向，敢于动真碰硬，严格落实“四个一律”，</w:t>
      </w:r>
      <w:r>
        <w:rPr>
          <w:rFonts w:hint="eastAsia" w:ascii="仿宋_GB2312" w:eastAsia="仿宋_GB2312" w:cs="仿宋_GB2312"/>
          <w:color w:val="000000"/>
          <w:kern w:val="0"/>
          <w:sz w:val="32"/>
          <w:szCs w:val="32"/>
          <w:lang w:eastAsia="zh-CN"/>
        </w:rPr>
        <w:t>依法从严查处超期未检电梯案件</w:t>
      </w:r>
      <w:r>
        <w:rPr>
          <w:rFonts w:hint="eastAsia" w:asci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val="0"/>
        <w:spacing w:line="570" w:lineRule="exact"/>
        <w:ind w:left="0" w:leftChars="0" w:right="0" w:rightChars="0" w:firstLine="645"/>
        <w:jc w:val="left"/>
        <w:textAlignment w:val="auto"/>
      </w:pPr>
      <w:r>
        <w:rPr>
          <w:rFonts w:hint="eastAsia" w:ascii="仿宋_GB2312" w:eastAsia="仿宋_GB2312" w:cs="仿宋_GB2312"/>
          <w:color w:val="000000"/>
          <w:kern w:val="0"/>
          <w:sz w:val="32"/>
          <w:szCs w:val="32"/>
        </w:rPr>
        <w:t>（二）定期通报电梯超期未检违法违规典型案例，形成不敢违法、不想违法、不能违法的高压态势。</w:t>
      </w:r>
    </w:p>
    <w:p>
      <w:pPr>
        <w:keepNext w:val="0"/>
        <w:keepLines w:val="0"/>
        <w:pageBreakBefore w:val="0"/>
        <w:widowControl w:val="0"/>
        <w:kinsoku/>
        <w:wordWrap/>
        <w:overflowPunct/>
        <w:topLinePunct w:val="0"/>
        <w:autoSpaceDE/>
        <w:autoSpaceDN/>
        <w:bidi w:val="0"/>
        <w:adjustRightInd w:val="0"/>
        <w:spacing w:line="570" w:lineRule="exact"/>
        <w:ind w:left="0" w:leftChars="0" w:right="0" w:rightChars="0" w:firstLine="645"/>
        <w:jc w:val="left"/>
        <w:textAlignment w:val="auto"/>
        <w:rPr>
          <w:rFonts w:ascii="仿宋_GB2312" w:hAnsi="仿宋_GB2312" w:eastAsia="仿宋_GB2312" w:cs="仿宋_GB2312"/>
          <w:sz w:val="32"/>
          <w:szCs w:val="32"/>
        </w:rPr>
      </w:pPr>
      <w:r>
        <w:rPr>
          <w:rFonts w:hint="eastAsia" w:ascii="仿宋_GB2312" w:hAnsi="黑体" w:eastAsia="仿宋_GB2312" w:cs="仿宋_GB2312"/>
          <w:kern w:val="0"/>
          <w:sz w:val="32"/>
          <w:szCs w:val="32"/>
        </w:rPr>
        <w:t>（三）</w:t>
      </w:r>
      <w:r>
        <w:rPr>
          <w:rFonts w:hint="eastAsia" w:ascii="仿宋_GB2312" w:hAnsi="宋体" w:eastAsia="仿宋_GB2312" w:cs="仿宋_GB2312"/>
          <w:kern w:val="0"/>
          <w:sz w:val="32"/>
          <w:szCs w:val="32"/>
        </w:rPr>
        <w:t>执法稽查和安全监察机构要密切配合，形成合力，对发现的违法违规行为，</w:t>
      </w:r>
      <w:r>
        <w:rPr>
          <w:rFonts w:hint="eastAsia" w:ascii="仿宋_GB2312" w:hAnsi="黑体" w:eastAsia="仿宋_GB2312" w:cs="仿宋_GB2312"/>
          <w:kern w:val="0"/>
          <w:sz w:val="32"/>
          <w:szCs w:val="32"/>
        </w:rPr>
        <w:t>该立案查处的必须立案查处，该移交的必须移交，该报告当地人民政府处理的必须要向当地人民政府报告</w:t>
      </w:r>
      <w:r>
        <w:rPr>
          <w:rFonts w:hint="eastAsia" w:ascii="仿宋_GB2312" w:hAnsi="宋体" w:eastAsia="仿宋_GB2312" w:cs="仿宋_GB2312"/>
          <w:kern w:val="0"/>
          <w:sz w:val="32"/>
          <w:szCs w:val="32"/>
        </w:rPr>
        <w:t>。</w:t>
      </w:r>
    </w:p>
    <w:p>
      <w:pPr>
        <w:keepNext w:val="0"/>
        <w:keepLines w:val="0"/>
        <w:pageBreakBefore w:val="0"/>
        <w:widowControl w:val="0"/>
        <w:kinsoku/>
        <w:wordWrap/>
        <w:overflowPunct/>
        <w:topLinePunct w:val="0"/>
        <w:autoSpaceDE/>
        <w:autoSpaceDN/>
        <w:bidi w:val="0"/>
        <w:spacing w:line="570" w:lineRule="exact"/>
        <w:ind w:left="0" w:leftChars="0" w:right="0" w:rightChars="0"/>
        <w:jc w:val="center"/>
        <w:textAlignment w:val="auto"/>
        <w:rPr>
          <w:rFonts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ascii="方正小标宋简体" w:hAnsi="方正小标宋简体" w:eastAsia="方正小标宋简体" w:cs="方正小标宋简体"/>
          <w:color w:val="000000"/>
          <w:sz w:val="44"/>
          <w:szCs w:val="44"/>
        </w:rPr>
      </w:pPr>
    </w:p>
    <w:p>
      <w:pPr>
        <w:pStyle w:val="9"/>
        <w:keepNext w:val="0"/>
        <w:keepLines w:val="0"/>
        <w:pageBreakBefore w:val="0"/>
        <w:kinsoku/>
        <w:wordWrap/>
        <w:overflowPunct/>
        <w:topLinePunct w:val="0"/>
        <w:autoSpaceDE/>
        <w:autoSpaceDN/>
        <w:bidi w:val="0"/>
        <w:spacing w:line="570" w:lineRule="exact"/>
        <w:ind w:right="0" w:rightChars="0" w:firstLine="0" w:firstLineChars="0"/>
        <w:textAlignment w:val="auto"/>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方正小标宋简体" w:eastAsia="方正小标宋简体" w:cs="方正小标宋简体"/>
          <w:color w:val="000000"/>
          <w:sz w:val="36"/>
          <w:szCs w:val="36"/>
          <w:lang w:eastAsia="zh-CN"/>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方正小标宋简体" w:eastAsia="方正小标宋简体" w:cs="方正小标宋简体"/>
          <w:color w:val="000000"/>
          <w:sz w:val="36"/>
          <w:szCs w:val="36"/>
          <w:lang w:eastAsia="zh-CN"/>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方正小标宋简体" w:eastAsia="方正小标宋简体" w:cs="方正小标宋简体"/>
          <w:color w:val="000000"/>
          <w:sz w:val="36"/>
          <w:szCs w:val="36"/>
          <w:lang w:eastAsia="zh-CN"/>
        </w:rPr>
      </w:pPr>
    </w:p>
    <w:p>
      <w:pPr>
        <w:pStyle w:val="3"/>
        <w:rPr>
          <w:rFonts w:hint="eastAsia"/>
          <w:lang w:eastAsia="zh-CN"/>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方正小标宋简体" w:eastAsia="方正小标宋简体" w:cs="方正小标宋简体"/>
          <w:color w:val="000000"/>
          <w:sz w:val="36"/>
          <w:szCs w:val="36"/>
          <w:lang w:eastAsia="zh-CN"/>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方正小标宋简体" w:eastAsia="方正小标宋简体" w:cs="方正小标宋简体"/>
          <w:color w:val="000000"/>
          <w:sz w:val="36"/>
          <w:szCs w:val="36"/>
          <w:lang w:eastAsia="zh-CN"/>
        </w:rPr>
      </w:pPr>
    </w:p>
    <w:p>
      <w:pPr>
        <w:keepNext w:val="0"/>
        <w:keepLines w:val="0"/>
        <w:pageBreakBefore w:val="0"/>
        <w:kinsoku/>
        <w:wordWrap/>
        <w:overflowPunct/>
        <w:topLinePunct w:val="0"/>
        <w:autoSpaceDE/>
        <w:autoSpaceDN/>
        <w:bidi w:val="0"/>
        <w:spacing w:line="570" w:lineRule="exact"/>
        <w:ind w:right="0" w:rightChars="0"/>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eastAsia="zh-CN"/>
        </w:rPr>
        <w:t>十、</w:t>
      </w:r>
      <w:r>
        <w:rPr>
          <w:rFonts w:hint="eastAsia" w:ascii="方正小标宋简体" w:hAnsi="方正小标宋简体" w:eastAsia="方正小标宋简体" w:cs="方正小标宋简体"/>
          <w:color w:val="000000"/>
          <w:sz w:val="36"/>
          <w:szCs w:val="36"/>
        </w:rPr>
        <w:t>面向未成年人</w:t>
      </w:r>
      <w:r>
        <w:rPr>
          <w:rFonts w:hint="eastAsia" w:ascii="方正小标宋简体" w:hAnsi="方正小标宋简体" w:eastAsia="方正小标宋简体" w:cs="方正小标宋简体"/>
          <w:color w:val="000000"/>
          <w:sz w:val="36"/>
          <w:szCs w:val="36"/>
          <w:lang w:eastAsia="zh-CN"/>
        </w:rPr>
        <w:t>开展“</w:t>
      </w:r>
      <w:r>
        <w:rPr>
          <w:rFonts w:hint="eastAsia" w:ascii="方正小标宋简体" w:hAnsi="方正小标宋简体" w:eastAsia="方正小标宋简体" w:cs="方正小标宋简体"/>
          <w:color w:val="000000"/>
          <w:sz w:val="36"/>
          <w:szCs w:val="36"/>
        </w:rPr>
        <w:t>无底线营销</w:t>
      </w:r>
      <w:r>
        <w:rPr>
          <w:rFonts w:hint="eastAsia" w:ascii="方正小标宋简体" w:hAnsi="方正小标宋简体" w:eastAsia="方正小标宋简体" w:cs="方正小标宋简体"/>
          <w:color w:val="000000"/>
          <w:sz w:val="36"/>
          <w:szCs w:val="36"/>
          <w:lang w:eastAsia="zh-CN"/>
        </w:rPr>
        <w:t>”</w:t>
      </w:r>
      <w:r>
        <w:rPr>
          <w:rFonts w:hint="eastAsia" w:ascii="方正小标宋简体" w:hAnsi="方正小标宋简体" w:eastAsia="方正小标宋简体" w:cs="方正小标宋简体"/>
          <w:color w:val="000000"/>
          <w:sz w:val="36"/>
          <w:szCs w:val="36"/>
        </w:rPr>
        <w:t>案件查处方案</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一些包装或内容含有色情暗示、宣传违背社会风尚的食品，面向未成年人销售，有些甚至成为“网红零食”，引发社会各界高度关注。根据</w:t>
      </w:r>
      <w:r>
        <w:rPr>
          <w:rFonts w:hint="eastAsia" w:ascii="仿宋_GB2312" w:hAnsi="仿宋_GB2312" w:eastAsia="仿宋_GB2312" w:cs="仿宋_GB2312"/>
          <w:color w:val="000000"/>
          <w:sz w:val="32"/>
          <w:szCs w:val="32"/>
          <w:lang w:eastAsia="zh-CN"/>
        </w:rPr>
        <w:t>总局、省局部署</w:t>
      </w:r>
      <w:r>
        <w:rPr>
          <w:rFonts w:hint="eastAsia" w:ascii="仿宋_GB2312" w:hAnsi="仿宋_GB2312" w:eastAsia="仿宋_GB2312" w:cs="仿宋_GB2312"/>
          <w:color w:val="000000"/>
          <w:sz w:val="32"/>
          <w:szCs w:val="32"/>
        </w:rPr>
        <w:t>要求，全面治理校园及周边、网络平台等面向未成年人无底线营销色情低俗食品现象，切实保护未成年人身心健康。</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一、查处重点</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未经许可从事食品生产，生产经营不符合食品安全标准和标签标识不合法的食品</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对商品性能、功能作虚假或者引人误解的商业宣传</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发布恶搞、低俗以及含有色情、软色情内容等违反公序良俗，损害未成年人身心健康的广告</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为“三无产品”等法律、行政法规严禁生产、销售的产品设计、制作、代理、发布广告</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生产经营侵犯注册商标专用权的商品</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电子商务平台经营者不履行法定核验登记义务、对违法情形未采取必要处置措施或未向主管部门报告。</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二、法律依据</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eastAsia="仿宋_GB2312"/>
          <w:color w:val="000000"/>
          <w:spacing w:val="-6"/>
          <w:sz w:val="32"/>
          <w:szCs w:val="32"/>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依据《中华人民共和国食品安全法》第一百二十二条、第一百二十三条、第一百二十四条、第一百二十五条及《中华人民共和国食品安全法实施条例》</w:t>
      </w:r>
      <w:r>
        <w:rPr>
          <w:rFonts w:hint="eastAsia" w:ascii="仿宋_GB2312" w:eastAsia="仿宋_GB2312"/>
          <w:color w:val="000000"/>
          <w:spacing w:val="-6"/>
          <w:sz w:val="32"/>
          <w:szCs w:val="32"/>
        </w:rPr>
        <w:t>第六十七条、第六十八条、第七十五条等规定作出行政处罚</w:t>
      </w:r>
      <w:r>
        <w:rPr>
          <w:rFonts w:hint="eastAsia" w:ascii="仿宋_GB2312" w:eastAsia="仿宋_GB2312"/>
          <w:color w:val="000000"/>
          <w:spacing w:val="-6"/>
          <w:sz w:val="32"/>
          <w:szCs w:val="32"/>
          <w:lang w:eastAsia="zh-CN"/>
        </w:rPr>
        <w:t>。</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依据《反不正当竞争法》第二十条</w:t>
      </w:r>
      <w:r>
        <w:rPr>
          <w:rFonts w:hint="eastAsia" w:ascii="仿宋_GB2312" w:eastAsia="仿宋_GB2312"/>
          <w:color w:val="000000"/>
          <w:spacing w:val="-6"/>
          <w:sz w:val="32"/>
          <w:szCs w:val="32"/>
        </w:rPr>
        <w:t>作出行政处罚</w:t>
      </w:r>
      <w:r>
        <w:rPr>
          <w:rFonts w:hint="eastAsia" w:ascii="仿宋_GB2312" w:eastAsia="仿宋_GB2312"/>
          <w:color w:val="000000"/>
          <w:spacing w:val="-6"/>
          <w:sz w:val="32"/>
          <w:szCs w:val="32"/>
          <w:lang w:eastAsia="zh-CN"/>
        </w:rPr>
        <w:t>。</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依据《广告法》第五十七条</w:t>
      </w:r>
      <w:r>
        <w:rPr>
          <w:rFonts w:hint="eastAsia" w:ascii="仿宋_GB2312" w:eastAsia="仿宋_GB2312"/>
          <w:color w:val="000000"/>
          <w:spacing w:val="-6"/>
          <w:sz w:val="32"/>
          <w:szCs w:val="32"/>
        </w:rPr>
        <w:t>作出行政处罚</w:t>
      </w:r>
      <w:r>
        <w:rPr>
          <w:rFonts w:hint="eastAsia" w:ascii="仿宋_GB2312" w:eastAsia="仿宋_GB2312"/>
          <w:color w:val="000000"/>
          <w:spacing w:val="-6"/>
          <w:sz w:val="32"/>
          <w:szCs w:val="32"/>
          <w:lang w:eastAsia="zh-CN"/>
        </w:rPr>
        <w:t>。</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依据《商标法》第六十条</w:t>
      </w:r>
      <w:r>
        <w:rPr>
          <w:rFonts w:hint="eastAsia" w:ascii="仿宋_GB2312" w:eastAsia="仿宋_GB2312"/>
          <w:color w:val="000000"/>
          <w:spacing w:val="-6"/>
          <w:sz w:val="32"/>
          <w:szCs w:val="32"/>
        </w:rPr>
        <w:t>作出行政处罚</w:t>
      </w:r>
      <w:r>
        <w:rPr>
          <w:rFonts w:hint="eastAsia" w:ascii="仿宋_GB2312" w:eastAsia="仿宋_GB2312"/>
          <w:color w:val="000000"/>
          <w:spacing w:val="-6"/>
          <w:sz w:val="32"/>
          <w:szCs w:val="32"/>
          <w:lang w:eastAsia="zh-CN"/>
        </w:rPr>
        <w:t>。</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依据《电子商务法》第八十条</w:t>
      </w:r>
      <w:r>
        <w:rPr>
          <w:rFonts w:hint="eastAsia" w:ascii="仿宋_GB2312" w:eastAsia="仿宋_GB2312"/>
          <w:color w:val="000000"/>
          <w:spacing w:val="-6"/>
          <w:sz w:val="32"/>
          <w:szCs w:val="32"/>
        </w:rPr>
        <w:t>作出行政处罚</w:t>
      </w:r>
      <w:r>
        <w:rPr>
          <w:rFonts w:hint="eastAsia" w:ascii="仿宋_GB2312" w:eastAsia="仿宋_GB2312"/>
          <w:color w:val="000000"/>
          <w:spacing w:val="-6"/>
          <w:sz w:val="32"/>
          <w:szCs w:val="32"/>
          <w:lang w:eastAsia="zh-CN"/>
        </w:rPr>
        <w:t>。</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三、工作要求</w:t>
      </w:r>
      <w:r>
        <w:rPr>
          <w:rFonts w:hint="eastAsia" w:ascii="仿宋_GB2312" w:hAnsi="仿宋_GB2312" w:eastAsia="仿宋_GB2312" w:cs="仿宋_GB2312"/>
          <w:color w:val="000000"/>
          <w:sz w:val="32"/>
          <w:szCs w:val="32"/>
        </w:rPr>
        <w:t xml:space="preserve"> </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重点对校园及校园周边等区域食品安全日常监管和抽检监测，以无底线营销用语及行为为广告监测审查重点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重点查看电子商务平台经营者是否存在不履行法定核验登记义务、对违法情形未采取必要处置措施或未向主管部门报告的违法违规行为；重点查看是否存在制售仿冒商品、虚假宣传等违法行为。</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实施联合惩戒。综合运用登记注册、日常监管、执法稽查、信用监管等手段实施联合惩戒，违法情形符合《市场监督管理严重违法失信名单管理办法》规定的一律列入严重违法失信名单</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spacing w:line="570" w:lineRule="exact"/>
        <w:ind w:right="0" w:righ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强化部门协同配合。市场监管部门发现违法行为涉嫌犯罪的，涉嫌犯罪的一律移交公安机关查处。</w:t>
      </w:r>
    </w:p>
    <w:p>
      <w:pPr>
        <w:pStyle w:val="9"/>
        <w:keepNext w:val="0"/>
        <w:keepLines w:val="0"/>
        <w:pageBreakBefore w:val="0"/>
        <w:numPr>
          <w:ilvl w:val="0"/>
          <w:numId w:val="0"/>
        </w:numPr>
        <w:kinsoku/>
        <w:wordWrap/>
        <w:overflowPunct/>
        <w:topLinePunct w:val="0"/>
        <w:autoSpaceDE/>
        <w:autoSpaceDN/>
        <w:bidi w:val="0"/>
        <w:spacing w:line="570" w:lineRule="exact"/>
        <w:ind w:right="0" w:rightChars="0"/>
        <w:textAlignment w:val="auto"/>
      </w:pPr>
    </w:p>
    <w:p>
      <w:pPr>
        <w:pStyle w:val="9"/>
        <w:keepNext w:val="0"/>
        <w:keepLines w:val="0"/>
        <w:pageBreakBefore w:val="0"/>
        <w:numPr>
          <w:ilvl w:val="0"/>
          <w:numId w:val="0"/>
        </w:numPr>
        <w:kinsoku/>
        <w:wordWrap/>
        <w:overflowPunct/>
        <w:topLinePunct w:val="0"/>
        <w:autoSpaceDE/>
        <w:autoSpaceDN/>
        <w:bidi w:val="0"/>
        <w:spacing w:line="570" w:lineRule="exact"/>
        <w:ind w:right="0" w:rightChars="0"/>
        <w:textAlignment w:val="auto"/>
      </w:pPr>
    </w:p>
    <w:p>
      <w:pPr>
        <w:pStyle w:val="9"/>
        <w:keepNext w:val="0"/>
        <w:keepLines w:val="0"/>
        <w:pageBreakBefore w:val="0"/>
        <w:numPr>
          <w:ilvl w:val="0"/>
          <w:numId w:val="0"/>
        </w:numPr>
        <w:kinsoku/>
        <w:wordWrap/>
        <w:overflowPunct/>
        <w:topLinePunct w:val="0"/>
        <w:autoSpaceDE/>
        <w:autoSpaceDN/>
        <w:bidi w:val="0"/>
        <w:spacing w:line="570" w:lineRule="exact"/>
        <w:ind w:right="0" w:rightChars="0"/>
        <w:textAlignment w:val="auto"/>
      </w:pPr>
    </w:p>
    <w:p>
      <w:pPr>
        <w:pStyle w:val="9"/>
        <w:keepNext w:val="0"/>
        <w:keepLines w:val="0"/>
        <w:pageBreakBefore w:val="0"/>
        <w:numPr>
          <w:ilvl w:val="0"/>
          <w:numId w:val="0"/>
        </w:numPr>
        <w:kinsoku/>
        <w:wordWrap/>
        <w:overflowPunct/>
        <w:topLinePunct w:val="0"/>
        <w:autoSpaceDE/>
        <w:autoSpaceDN/>
        <w:bidi w:val="0"/>
        <w:spacing w:line="570" w:lineRule="exact"/>
        <w:ind w:right="0" w:rightChars="0"/>
        <w:textAlignment w:val="auto"/>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十一、</w:t>
      </w:r>
      <w:r>
        <w:rPr>
          <w:rFonts w:hint="eastAsia" w:ascii="方正小标宋简体" w:hAnsi="方正小标宋简体" w:eastAsia="方正小标宋简体" w:cs="方正小标宋简体"/>
          <w:sz w:val="36"/>
          <w:szCs w:val="36"/>
        </w:rPr>
        <w:t>生产销售劣质</w:t>
      </w:r>
      <w:r>
        <w:rPr>
          <w:rFonts w:hint="eastAsia" w:ascii="方正小标宋简体" w:hAnsi="方正小标宋简体" w:eastAsia="方正小标宋简体" w:cs="方正小标宋简体"/>
          <w:sz w:val="36"/>
          <w:szCs w:val="36"/>
          <w:lang w:val="en-US" w:eastAsia="zh-CN"/>
        </w:rPr>
        <w:t>钢筋、电线电缆</w:t>
      </w:r>
      <w:r>
        <w:rPr>
          <w:rFonts w:hint="eastAsia" w:ascii="方正小标宋简体" w:hAnsi="方正小标宋简体" w:eastAsia="方正小标宋简体" w:cs="方正小标宋简体"/>
          <w:sz w:val="36"/>
          <w:szCs w:val="36"/>
        </w:rPr>
        <w:t>案件查处方案</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16" w:firstLineChars="200"/>
        <w:textAlignment w:val="auto"/>
        <w:rPr>
          <w:rFonts w:hint="eastAsia" w:ascii="仿宋_GB2312" w:eastAsia="仿宋_GB2312"/>
          <w:spacing w:val="-6"/>
          <w:sz w:val="32"/>
          <w:szCs w:val="32"/>
        </w:rPr>
      </w:pPr>
      <w:r>
        <w:rPr>
          <w:rFonts w:hint="eastAsia" w:ascii="仿宋_GB2312" w:eastAsia="仿宋_GB2312"/>
          <w:spacing w:val="-6"/>
          <w:sz w:val="32"/>
          <w:szCs w:val="32"/>
        </w:rPr>
        <w:t>建材产品</w:t>
      </w:r>
      <w:r>
        <w:rPr>
          <w:rFonts w:hint="eastAsia" w:ascii="仿宋_GB2312" w:eastAsia="仿宋_GB2312"/>
          <w:spacing w:val="-6"/>
          <w:sz w:val="32"/>
          <w:szCs w:val="32"/>
          <w:lang w:val="en-US" w:eastAsia="zh-CN"/>
        </w:rPr>
        <w:t>质量</w:t>
      </w:r>
      <w:r>
        <w:rPr>
          <w:rFonts w:hint="eastAsia" w:ascii="仿宋_GB2312" w:eastAsia="仿宋_GB2312"/>
          <w:spacing w:val="-6"/>
          <w:sz w:val="32"/>
          <w:szCs w:val="32"/>
        </w:rPr>
        <w:t>事关建筑工程质量和人民生命、财产安全</w:t>
      </w:r>
      <w:r>
        <w:rPr>
          <w:rFonts w:hint="eastAsia" w:ascii="仿宋_GB2312" w:eastAsia="仿宋_GB2312"/>
          <w:spacing w:val="-6"/>
          <w:sz w:val="32"/>
          <w:szCs w:val="32"/>
          <w:lang w:eastAsia="zh-CN"/>
        </w:rPr>
        <w:t>，</w:t>
      </w:r>
      <w:r>
        <w:rPr>
          <w:rFonts w:hint="eastAsia" w:ascii="仿宋_GB2312" w:eastAsia="仿宋_GB2312"/>
          <w:spacing w:val="-6"/>
          <w:sz w:val="32"/>
          <w:szCs w:val="32"/>
          <w:lang w:val="en-US" w:eastAsia="zh-CN"/>
        </w:rPr>
        <w:t>必须清醒认识到建材产品质量安全的极端特殊性和重要性，特别是钢筋、电线电缆等涉及国计民生的重点建材产品质量仍然存在隐忧，必须持之以恒强化监管</w:t>
      </w:r>
      <w:r>
        <w:rPr>
          <w:rFonts w:hint="eastAsia" w:ascii="仿宋_GB2312" w:eastAsia="仿宋_GB2312"/>
          <w:spacing w:val="-6"/>
          <w:sz w:val="32"/>
          <w:szCs w:val="32"/>
        </w:rPr>
        <w:t>执法，对</w:t>
      </w:r>
      <w:r>
        <w:rPr>
          <w:rFonts w:hint="eastAsia" w:ascii="仿宋_GB2312" w:eastAsia="仿宋_GB2312"/>
          <w:spacing w:val="-6"/>
          <w:sz w:val="32"/>
          <w:szCs w:val="32"/>
          <w:lang w:val="en-US" w:eastAsia="zh-CN"/>
        </w:rPr>
        <w:t>严重</w:t>
      </w:r>
      <w:r>
        <w:rPr>
          <w:rFonts w:hint="eastAsia" w:ascii="仿宋_GB2312" w:eastAsia="仿宋_GB2312"/>
          <w:spacing w:val="-6"/>
          <w:sz w:val="32"/>
          <w:szCs w:val="32"/>
        </w:rPr>
        <w:t>质量违法行为形成有效震慑。</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一、查处重点</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16" w:firstLineChars="200"/>
        <w:textAlignment w:val="auto"/>
        <w:rPr>
          <w:rFonts w:hint="default" w:ascii="仿宋_GB2312" w:eastAsia="仿宋_GB2312"/>
          <w:spacing w:val="-6"/>
          <w:sz w:val="32"/>
          <w:szCs w:val="32"/>
          <w:lang w:val="en-US" w:eastAsia="zh-CN"/>
        </w:rPr>
      </w:pPr>
      <w:r>
        <w:rPr>
          <w:rFonts w:hint="eastAsia" w:ascii="楷体" w:hAnsi="楷体" w:eastAsia="楷体" w:cs="楷体"/>
          <w:spacing w:val="-6"/>
          <w:sz w:val="32"/>
          <w:szCs w:val="32"/>
        </w:rPr>
        <w:t>（一）</w:t>
      </w:r>
      <w:r>
        <w:rPr>
          <w:rFonts w:hint="eastAsia" w:ascii="楷体" w:hAnsi="楷体" w:eastAsia="楷体" w:cs="楷体"/>
          <w:spacing w:val="-6"/>
          <w:sz w:val="32"/>
          <w:szCs w:val="32"/>
          <w:lang w:val="en-US" w:eastAsia="zh-CN"/>
        </w:rPr>
        <w:t>查办系列恶意违法案件。</w:t>
      </w:r>
      <w:r>
        <w:rPr>
          <w:rFonts w:hint="eastAsia" w:ascii="仿宋_GB2312" w:eastAsia="仿宋_GB2312"/>
          <w:spacing w:val="-6"/>
          <w:sz w:val="32"/>
          <w:szCs w:val="32"/>
          <w:lang w:val="en-US" w:eastAsia="zh-CN"/>
        </w:rPr>
        <w:t>以钢筋、电线电缆等建材产品为重点，严厉查处一批偷工减料、掺杂掺假、以假充真、以次充好、以不合格产品冒充合格产品，以及伪造产地、伪造或者冒用他人厂名厂址、伪造或者冒用质量标志等违法案件。</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16" w:firstLineChars="200"/>
        <w:textAlignment w:val="auto"/>
        <w:rPr>
          <w:rFonts w:hint="eastAsia" w:eastAsia="仿宋_GB2312"/>
          <w:lang w:val="en-US" w:eastAsia="zh-CN"/>
        </w:rPr>
      </w:pPr>
      <w:r>
        <w:rPr>
          <w:rFonts w:hint="eastAsia" w:ascii="楷体" w:hAnsi="楷体" w:eastAsia="楷体" w:cs="楷体"/>
          <w:spacing w:val="-6"/>
          <w:sz w:val="32"/>
          <w:szCs w:val="32"/>
        </w:rPr>
        <w:t>（二）</w:t>
      </w:r>
      <w:r>
        <w:rPr>
          <w:rFonts w:hint="eastAsia" w:ascii="楷体" w:hAnsi="楷体" w:eastAsia="楷体" w:cs="楷体"/>
          <w:spacing w:val="-6"/>
          <w:sz w:val="32"/>
          <w:szCs w:val="32"/>
          <w:lang w:val="en-US" w:eastAsia="zh-CN"/>
        </w:rPr>
        <w:t>查办一批无证生产案件。</w:t>
      </w:r>
      <w:r>
        <w:rPr>
          <w:rFonts w:hint="eastAsia" w:ascii="仿宋_GB2312" w:eastAsia="仿宋_GB2312"/>
          <w:spacing w:val="-6"/>
          <w:sz w:val="32"/>
          <w:szCs w:val="32"/>
          <w:lang w:val="en-US" w:eastAsia="zh-CN"/>
        </w:rPr>
        <w:t>查办一批未按规定要求取得生产许可证或强制性产品认证而擅自生产、销售，以及生产销售“三无”产品的违法案件</w:t>
      </w:r>
      <w:r>
        <w:rPr>
          <w:rFonts w:hint="eastAsia" w:ascii="仿宋_GB2312" w:eastAsia="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16" w:firstLineChars="200"/>
        <w:textAlignment w:val="auto"/>
        <w:rPr>
          <w:rFonts w:hint="default" w:ascii="仿宋_GB2312" w:eastAsia="仿宋_GB2312"/>
          <w:spacing w:val="-6"/>
          <w:sz w:val="32"/>
          <w:szCs w:val="32"/>
          <w:lang w:val="en-US" w:eastAsia="zh-CN"/>
        </w:rPr>
      </w:pPr>
      <w:r>
        <w:rPr>
          <w:rFonts w:hint="eastAsia" w:ascii="楷体" w:hAnsi="楷体" w:eastAsia="楷体" w:cs="楷体"/>
          <w:spacing w:val="-6"/>
          <w:sz w:val="32"/>
          <w:szCs w:val="32"/>
        </w:rPr>
        <w:t>（三）</w:t>
      </w:r>
      <w:r>
        <w:rPr>
          <w:rFonts w:hint="eastAsia" w:ascii="楷体" w:hAnsi="楷体" w:eastAsia="楷体" w:cs="楷体"/>
          <w:spacing w:val="-6"/>
          <w:sz w:val="32"/>
          <w:szCs w:val="32"/>
          <w:lang w:val="en-US" w:eastAsia="zh-CN"/>
        </w:rPr>
        <w:t>强化重点领域和区域执法办案。</w:t>
      </w:r>
      <w:r>
        <w:rPr>
          <w:rFonts w:hint="eastAsia" w:ascii="仿宋_GB2312" w:eastAsia="仿宋_GB2312"/>
          <w:spacing w:val="-6"/>
          <w:sz w:val="32"/>
          <w:szCs w:val="32"/>
          <w:lang w:val="en-US" w:eastAsia="zh-CN"/>
        </w:rPr>
        <w:t>加大对大型建材市场、批发市场及其仓库、城乡结合部和农村集中销售场所的执法力度。</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二、查处依据</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16" w:firstLineChars="200"/>
        <w:textAlignment w:val="auto"/>
        <w:rPr>
          <w:rFonts w:ascii="仿宋_GB2312" w:eastAsia="仿宋_GB2312"/>
          <w:spacing w:val="-6"/>
          <w:sz w:val="32"/>
          <w:szCs w:val="32"/>
        </w:rPr>
      </w:pPr>
      <w:r>
        <w:rPr>
          <w:rFonts w:hint="eastAsia" w:ascii="仿宋_GB2312" w:eastAsia="仿宋_GB2312"/>
          <w:spacing w:val="-6"/>
          <w:sz w:val="32"/>
          <w:szCs w:val="32"/>
        </w:rPr>
        <w:t>（一）《产品质量法》第四十九、五十、五十一、五十三、五十四条。</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16" w:firstLineChars="200"/>
        <w:textAlignment w:val="auto"/>
        <w:rPr>
          <w:rFonts w:hint="eastAsia" w:ascii="仿宋_GB2312" w:eastAsia="仿宋_GB2312"/>
          <w:spacing w:val="-6"/>
          <w:sz w:val="32"/>
          <w:szCs w:val="32"/>
        </w:rPr>
      </w:pPr>
      <w:r>
        <w:rPr>
          <w:rFonts w:hint="eastAsia" w:ascii="仿宋_GB2312" w:eastAsia="仿宋_GB2312"/>
          <w:spacing w:val="-6"/>
          <w:sz w:val="32"/>
          <w:szCs w:val="32"/>
        </w:rPr>
        <w:t>（二）《工业产品生产许可证管理条例》第四十五、四十六、四十七、四十八、四十九、五十三条。</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16" w:firstLineChars="200"/>
        <w:textAlignment w:val="auto"/>
        <w:rPr>
          <w:rFonts w:hint="default" w:ascii="仿宋_GB2312" w:eastAsia="仿宋_GB2312"/>
          <w:spacing w:val="-6"/>
          <w:sz w:val="32"/>
          <w:szCs w:val="32"/>
          <w:lang w:val="en-US" w:eastAsia="zh-CN"/>
        </w:rPr>
      </w:pPr>
      <w:r>
        <w:rPr>
          <w:rFonts w:hint="eastAsia" w:ascii="仿宋_GB2312" w:eastAsia="仿宋_GB2312"/>
          <w:spacing w:val="-6"/>
          <w:sz w:val="32"/>
          <w:szCs w:val="32"/>
        </w:rPr>
        <w:t>（三）</w:t>
      </w:r>
      <w:r>
        <w:rPr>
          <w:rFonts w:hint="eastAsia" w:ascii="仿宋_GB2312" w:eastAsia="仿宋_GB2312"/>
          <w:spacing w:val="-6"/>
          <w:sz w:val="32"/>
          <w:szCs w:val="32"/>
          <w:lang w:eastAsia="zh-CN"/>
        </w:rPr>
        <w:t>《</w:t>
      </w:r>
      <w:r>
        <w:rPr>
          <w:rFonts w:hint="eastAsia" w:ascii="仿宋_GB2312" w:eastAsia="仿宋_GB2312"/>
          <w:spacing w:val="-6"/>
          <w:sz w:val="32"/>
          <w:szCs w:val="32"/>
          <w:lang w:val="en-US" w:eastAsia="zh-CN"/>
        </w:rPr>
        <w:t>认证认可条例</w:t>
      </w:r>
      <w:r>
        <w:rPr>
          <w:rFonts w:hint="eastAsia" w:ascii="仿宋_GB2312" w:eastAsia="仿宋_GB2312"/>
          <w:spacing w:val="-6"/>
          <w:sz w:val="32"/>
          <w:szCs w:val="32"/>
          <w:lang w:eastAsia="zh-CN"/>
        </w:rPr>
        <w:t>》</w:t>
      </w:r>
      <w:r>
        <w:rPr>
          <w:rFonts w:hint="eastAsia" w:ascii="仿宋_GB2312" w:eastAsia="仿宋_GB2312"/>
          <w:spacing w:val="-6"/>
          <w:sz w:val="32"/>
          <w:szCs w:val="32"/>
          <w:lang w:val="en-US" w:eastAsia="zh-CN"/>
        </w:rPr>
        <w:t>第六十六条、《市场监管总局关于优化强制性产品认证目录的公告》（2020年第18号）。</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三、</w:t>
      </w:r>
      <w:r>
        <w:rPr>
          <w:rFonts w:hint="eastAsia" w:ascii="黑体" w:hAnsi="黑体" w:eastAsia="黑体" w:cs="黑体"/>
          <w:spacing w:val="-6"/>
          <w:sz w:val="32"/>
          <w:szCs w:val="32"/>
          <w:lang w:val="en-US" w:eastAsia="zh-CN"/>
        </w:rPr>
        <w:t>工作</w:t>
      </w:r>
      <w:r>
        <w:rPr>
          <w:rFonts w:hint="eastAsia" w:ascii="黑体" w:hAnsi="黑体" w:eastAsia="黑体" w:cs="黑体"/>
          <w:spacing w:val="-6"/>
          <w:sz w:val="32"/>
          <w:szCs w:val="32"/>
        </w:rPr>
        <w:t>要求</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16" w:firstLineChars="200"/>
        <w:textAlignment w:val="auto"/>
        <w:rPr>
          <w:rFonts w:ascii="仿宋_GB2312" w:eastAsia="仿宋_GB2312"/>
          <w:spacing w:val="-6"/>
          <w:sz w:val="32"/>
          <w:szCs w:val="32"/>
        </w:rPr>
      </w:pPr>
      <w:r>
        <w:rPr>
          <w:rFonts w:hint="eastAsia" w:ascii="楷体" w:hAnsi="楷体" w:eastAsia="楷体" w:cs="楷体"/>
          <w:spacing w:val="-6"/>
          <w:sz w:val="32"/>
          <w:szCs w:val="32"/>
        </w:rPr>
        <w:t>（</w:t>
      </w:r>
      <w:r>
        <w:rPr>
          <w:rFonts w:hint="eastAsia" w:ascii="楷体" w:hAnsi="楷体" w:eastAsia="楷体" w:cs="楷体"/>
          <w:spacing w:val="-6"/>
          <w:sz w:val="32"/>
          <w:szCs w:val="32"/>
          <w:lang w:eastAsia="zh-CN"/>
        </w:rPr>
        <w:t>一</w:t>
      </w:r>
      <w:r>
        <w:rPr>
          <w:rFonts w:hint="eastAsia" w:ascii="楷体" w:hAnsi="楷体" w:eastAsia="楷体" w:cs="楷体"/>
          <w:spacing w:val="-6"/>
          <w:sz w:val="32"/>
          <w:szCs w:val="32"/>
        </w:rPr>
        <w:t>）加大</w:t>
      </w:r>
      <w:r>
        <w:rPr>
          <w:rFonts w:hint="eastAsia" w:ascii="楷体" w:hAnsi="楷体" w:eastAsia="楷体" w:cs="楷体"/>
          <w:spacing w:val="-6"/>
          <w:sz w:val="32"/>
          <w:szCs w:val="32"/>
          <w:lang w:val="en-US" w:eastAsia="zh-CN"/>
        </w:rPr>
        <w:t>大案要案办理。</w:t>
      </w:r>
      <w:r>
        <w:rPr>
          <w:rFonts w:hint="eastAsia" w:ascii="仿宋_GB2312" w:eastAsia="仿宋_GB2312"/>
          <w:spacing w:val="-6"/>
          <w:sz w:val="32"/>
          <w:szCs w:val="32"/>
          <w:lang w:val="en-US" w:eastAsia="zh-CN"/>
        </w:rPr>
        <w:t>建立健全大案要案查办督办制度，对于发现生产、销售</w:t>
      </w:r>
      <w:r>
        <w:rPr>
          <w:rFonts w:hint="eastAsia" w:ascii="仿宋_GB2312" w:eastAsia="仿宋_GB2312"/>
          <w:spacing w:val="-6"/>
          <w:sz w:val="32"/>
          <w:szCs w:val="32"/>
        </w:rPr>
        <w:t>“瘦身钢筋”“</w:t>
      </w:r>
      <w:r>
        <w:rPr>
          <w:rFonts w:hint="eastAsia" w:ascii="仿宋_GB2312" w:eastAsia="仿宋_GB2312"/>
          <w:spacing w:val="-6"/>
          <w:sz w:val="32"/>
          <w:szCs w:val="32"/>
          <w:lang w:val="en-US" w:eastAsia="zh-CN"/>
        </w:rPr>
        <w:t>打折</w:t>
      </w:r>
      <w:r>
        <w:rPr>
          <w:rFonts w:hint="eastAsia" w:ascii="仿宋_GB2312" w:eastAsia="仿宋_GB2312"/>
          <w:spacing w:val="-6"/>
          <w:sz w:val="32"/>
          <w:szCs w:val="32"/>
        </w:rPr>
        <w:t>电缆”等</w:t>
      </w:r>
      <w:r>
        <w:rPr>
          <w:rFonts w:hint="eastAsia" w:ascii="仿宋_GB2312" w:eastAsia="仿宋_GB2312"/>
          <w:spacing w:val="-6"/>
          <w:sz w:val="32"/>
          <w:szCs w:val="32"/>
          <w:lang w:val="en-US" w:eastAsia="zh-CN"/>
        </w:rPr>
        <w:t>典型违法行为，要切实加大案件查办力度</w:t>
      </w:r>
      <w:r>
        <w:rPr>
          <w:rFonts w:ascii="仿宋_GB2312" w:eastAsia="仿宋_GB2312"/>
          <w:spacing w:val="-6"/>
          <w:sz w:val="32"/>
          <w:szCs w:val="32"/>
        </w:rPr>
        <w:t>。涉嫌犯罪的，</w:t>
      </w:r>
      <w:r>
        <w:rPr>
          <w:rFonts w:hint="eastAsia" w:ascii="仿宋_GB2312" w:eastAsia="仿宋_GB2312"/>
          <w:spacing w:val="-6"/>
          <w:sz w:val="32"/>
          <w:szCs w:val="32"/>
          <w:lang w:val="en-US" w:eastAsia="zh-CN"/>
        </w:rPr>
        <w:t>坚决</w:t>
      </w:r>
      <w:r>
        <w:rPr>
          <w:rFonts w:ascii="仿宋_GB2312" w:eastAsia="仿宋_GB2312"/>
          <w:spacing w:val="-6"/>
          <w:sz w:val="32"/>
          <w:szCs w:val="32"/>
        </w:rPr>
        <w:t>移送司法机关处理。</w:t>
      </w:r>
      <w:r>
        <w:rPr>
          <w:rFonts w:hint="eastAsia" w:ascii="仿宋_GB2312" w:hAnsi="仿宋_GB2312" w:eastAsia="仿宋_GB2312" w:cs="仿宋_GB2312"/>
          <w:b w:val="0"/>
          <w:kern w:val="2"/>
          <w:position w:val="0"/>
          <w:sz w:val="32"/>
          <w:szCs w:val="32"/>
          <w:lang w:val="en-US" w:eastAsia="zh-CN" w:bidi="ar-SA"/>
        </w:rPr>
        <w:t>对制假“黑窝点”，要报请当地政府予以取缔。</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16" w:firstLineChars="200"/>
        <w:textAlignment w:val="auto"/>
        <w:rPr>
          <w:rFonts w:hint="default" w:ascii="仿宋_GB2312" w:eastAsia="仿宋_GB2312"/>
          <w:spacing w:val="-6"/>
          <w:sz w:val="32"/>
          <w:szCs w:val="32"/>
          <w:lang w:val="en-US" w:eastAsia="zh-CN"/>
        </w:rPr>
      </w:pPr>
      <w:r>
        <w:rPr>
          <w:rFonts w:hint="eastAsia" w:ascii="楷体" w:hAnsi="楷体" w:eastAsia="楷体" w:cs="楷体"/>
          <w:spacing w:val="-6"/>
          <w:sz w:val="32"/>
          <w:szCs w:val="32"/>
        </w:rPr>
        <w:t>（</w:t>
      </w:r>
      <w:r>
        <w:rPr>
          <w:rFonts w:hint="eastAsia" w:ascii="楷体" w:hAnsi="楷体" w:eastAsia="楷体" w:cs="楷体"/>
          <w:spacing w:val="-6"/>
          <w:sz w:val="32"/>
          <w:szCs w:val="32"/>
          <w:lang w:eastAsia="zh-CN"/>
        </w:rPr>
        <w:t>二</w:t>
      </w:r>
      <w:r>
        <w:rPr>
          <w:rFonts w:hint="eastAsia" w:ascii="楷体" w:hAnsi="楷体" w:eastAsia="楷体" w:cs="楷体"/>
          <w:spacing w:val="-6"/>
          <w:sz w:val="32"/>
          <w:szCs w:val="32"/>
        </w:rPr>
        <w:t>）</w:t>
      </w:r>
      <w:r>
        <w:rPr>
          <w:rFonts w:hint="eastAsia" w:ascii="楷体" w:hAnsi="楷体" w:eastAsia="楷体" w:cs="楷体"/>
          <w:spacing w:val="-6"/>
          <w:sz w:val="32"/>
          <w:szCs w:val="32"/>
          <w:lang w:val="en-US" w:eastAsia="zh-CN"/>
        </w:rPr>
        <w:t>充分发挥社会监督作用。</w:t>
      </w:r>
      <w:r>
        <w:rPr>
          <w:rFonts w:hint="eastAsia" w:ascii="仿宋_GB2312" w:eastAsia="仿宋_GB2312"/>
          <w:spacing w:val="-6"/>
          <w:sz w:val="32"/>
          <w:szCs w:val="32"/>
          <w:lang w:val="en-US" w:eastAsia="zh-CN"/>
        </w:rPr>
        <w:t>畅通消费者维权渠道，高度重视12345</w:t>
      </w:r>
      <w:r>
        <w:rPr>
          <w:rFonts w:hint="eastAsia" w:ascii="仿宋_GB2312" w:hAnsi="仿宋_GB2312" w:eastAsia="仿宋_GB2312" w:cs="仿宋_GB2312"/>
          <w:bCs/>
          <w:sz w:val="32"/>
          <w:szCs w:val="32"/>
          <w:lang w:val="en-US" w:eastAsia="zh-CN"/>
        </w:rPr>
        <w:t>热线、局长信箱</w:t>
      </w:r>
      <w:r>
        <w:rPr>
          <w:rFonts w:hint="eastAsia" w:ascii="仿宋_GB2312" w:eastAsia="仿宋_GB2312"/>
          <w:spacing w:val="-6"/>
          <w:sz w:val="32"/>
          <w:szCs w:val="32"/>
          <w:lang w:val="en-US" w:eastAsia="zh-CN"/>
        </w:rPr>
        <w:t>等渠道投诉举报件办理，切实维护企业和用户合法权益。对群众举报的线索，尤其是对于行业协会和企业举报、反映的线索，要认真核查，重点突破。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十二、房地产虚假违法广告案件查处方案</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房地产</w:t>
      </w:r>
      <w:r>
        <w:rPr>
          <w:rFonts w:hint="eastAsia" w:ascii="仿宋_GB2312" w:hAnsi="仿宋_GB2312" w:eastAsia="仿宋_GB2312" w:cs="仿宋_GB2312"/>
          <w:sz w:val="32"/>
          <w:szCs w:val="32"/>
        </w:rPr>
        <w:t>等广告事关人民群众的</w:t>
      </w:r>
      <w:r>
        <w:rPr>
          <w:rFonts w:hint="eastAsia" w:ascii="仿宋_GB2312" w:hAnsi="仿宋_GB2312" w:eastAsia="仿宋_GB2312" w:cs="仿宋_GB2312"/>
          <w:sz w:val="32"/>
          <w:szCs w:val="32"/>
          <w:lang w:val="en-US" w:eastAsia="zh-CN"/>
        </w:rPr>
        <w:t>财产</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lang w:val="en-US" w:eastAsia="zh-CN"/>
        </w:rPr>
        <w:t>严肃查处误导、欺骗消费者的房地产广告，切实维护良好广告市场秩序，不断提升人民群众满意度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一、重点任务</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）开展广告专项监测。</w:t>
      </w:r>
      <w:r>
        <w:rPr>
          <w:rFonts w:hint="eastAsia" w:ascii="仿宋_GB2312" w:hAnsi="仿宋_GB2312" w:eastAsia="仿宋_GB2312" w:cs="仿宋_GB2312"/>
          <w:sz w:val="32"/>
          <w:szCs w:val="32"/>
        </w:rPr>
        <w:t>结合实际，</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对辖区内传统媒体、互联网、户外媒体发布的</w:t>
      </w:r>
      <w:r>
        <w:rPr>
          <w:rFonts w:hint="eastAsia" w:ascii="仿宋_GB2312" w:hAnsi="仿宋_GB2312" w:eastAsia="仿宋_GB2312" w:cs="仿宋_GB2312"/>
          <w:sz w:val="32"/>
          <w:szCs w:val="32"/>
          <w:lang w:val="en-US" w:eastAsia="zh-CN"/>
        </w:rPr>
        <w:t>房地产等</w:t>
      </w:r>
      <w:r>
        <w:rPr>
          <w:rFonts w:hint="eastAsia" w:ascii="仿宋_GB2312" w:hAnsi="仿宋_GB2312" w:eastAsia="仿宋_GB2312" w:cs="仿宋_GB2312"/>
          <w:sz w:val="32"/>
          <w:szCs w:val="32"/>
        </w:rPr>
        <w:t>广告进行专项监测，</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发现</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val="en-US" w:eastAsia="zh-CN"/>
        </w:rPr>
        <w:t>涉嫌</w:t>
      </w:r>
      <w:r>
        <w:rPr>
          <w:rFonts w:hint="eastAsia" w:ascii="仿宋_GB2312" w:hAnsi="仿宋_GB2312" w:eastAsia="仿宋_GB2312" w:cs="仿宋_GB2312"/>
          <w:sz w:val="32"/>
          <w:szCs w:val="32"/>
        </w:rPr>
        <w:t>违法线索</w:t>
      </w:r>
      <w:r>
        <w:rPr>
          <w:rFonts w:hint="eastAsia" w:ascii="仿宋_GB2312" w:hAnsi="仿宋_GB2312" w:eastAsia="仿宋_GB2312" w:cs="仿宋_GB2312"/>
          <w:sz w:val="32"/>
          <w:szCs w:val="32"/>
          <w:lang w:val="en-US" w:eastAsia="zh-CN"/>
        </w:rPr>
        <w:t>依法</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val="en-US" w:eastAsia="zh-CN"/>
        </w:rPr>
        <w:t>进行处理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组织查办重点案件。</w:t>
      </w:r>
      <w:r>
        <w:rPr>
          <w:rFonts w:hint="eastAsia" w:ascii="仿宋_GB2312" w:hAnsi="仿宋_GB2312" w:eastAsia="仿宋_GB2312" w:cs="仿宋_GB2312"/>
          <w:sz w:val="32"/>
          <w:szCs w:val="32"/>
          <w:lang w:val="en-US" w:eastAsia="zh-CN"/>
        </w:rPr>
        <w:t>重点查处：一是房源信息不真实的房地产广告。二是含有就业、升学、升值等事项承诺的房地产广告。三是对规划或者建设中的交通、商业、文化教育设施以及其他市政条件作误导宣传的房地产广告。</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二、查处依据</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lang w:eastAsia="zh-CN"/>
        </w:rPr>
        <w:t>广告法》</w:t>
      </w:r>
      <w:r>
        <w:rPr>
          <w:rFonts w:hint="eastAsia" w:ascii="仿宋_GB2312" w:hAnsi="仿宋_GB2312" w:eastAsia="仿宋_GB2312" w:cs="仿宋_GB2312"/>
          <w:sz w:val="32"/>
          <w:szCs w:val="32"/>
          <w:lang w:val="en-US" w:eastAsia="zh-CN"/>
        </w:rPr>
        <w:t>第十一条、第二十五条、第二十六条，以及第五十八条、第五十九条。</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《房地产广告发布规定》第十二条、第二十一条。</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有关</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（一）加强督促指导。</w:t>
      </w:r>
      <w:r>
        <w:rPr>
          <w:rFonts w:hint="eastAsia" w:ascii="仿宋_GB2312" w:hAnsi="仿宋_GB2312" w:eastAsia="仿宋_GB2312" w:cs="仿宋_GB2312"/>
          <w:sz w:val="32"/>
          <w:szCs w:val="32"/>
        </w:rPr>
        <w:t>要突出重点案件查办，加强案件</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rPr>
        <w:t>调度，及时掌握工作动态，</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违法</w:t>
      </w:r>
      <w:r>
        <w:rPr>
          <w:rFonts w:hint="eastAsia" w:ascii="仿宋_GB2312" w:hAnsi="仿宋_GB2312" w:eastAsia="仿宋_GB2312" w:cs="仿宋_GB2312"/>
          <w:sz w:val="32"/>
          <w:szCs w:val="32"/>
          <w:lang w:val="en-US" w:eastAsia="zh-CN"/>
        </w:rPr>
        <w:t>线索分析研判，</w:t>
      </w:r>
      <w:r>
        <w:rPr>
          <w:rFonts w:hint="eastAsia" w:ascii="仿宋_GB2312" w:hAnsi="仿宋_GB2312" w:eastAsia="仿宋_GB2312" w:cs="仿宋_GB2312"/>
          <w:sz w:val="32"/>
          <w:szCs w:val="32"/>
        </w:rPr>
        <w:t>发现跨区域重大案件线索及时上报。</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（二）加强行刑衔接。</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用好用足法律手段，坚决严惩相关违法主体。对于广告违法行为情节恶劣涉嫌构成犯罪的，按规定移送司法机关追究</w:t>
      </w:r>
      <w:r>
        <w:rPr>
          <w:rFonts w:hint="eastAsia" w:ascii="仿宋_GB2312" w:hAnsi="仿宋_GB2312" w:eastAsia="仿宋_GB2312" w:cs="仿宋_GB2312"/>
          <w:sz w:val="32"/>
          <w:szCs w:val="32"/>
          <w:lang w:val="en-US" w:eastAsia="zh-CN"/>
        </w:rPr>
        <w:t>刑事责任。</w:t>
      </w:r>
    </w:p>
    <w:p>
      <w:pPr>
        <w:pStyle w:val="9"/>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both"/>
        <w:textAlignment w:val="auto"/>
        <w:rPr>
          <w:rFonts w:hint="eastAsia" w:ascii="方正小标宋简体" w:hAnsi="方正小标宋简体" w:eastAsia="方正小标宋简体" w:cs="方正小标宋简体"/>
          <w:sz w:val="44"/>
          <w:szCs w:val="44"/>
          <w:lang w:val="en-US" w:eastAsia="zh-CN"/>
        </w:rPr>
      </w:pPr>
      <w:r>
        <w:rPr>
          <w:rFonts w:hint="eastAsia" w:ascii="楷体" w:hAnsi="楷体" w:eastAsia="楷体" w:cs="楷体"/>
          <w:sz w:val="32"/>
          <w:szCs w:val="32"/>
          <w:lang w:val="en-US" w:eastAsia="zh-CN"/>
        </w:rPr>
        <w:t>（三）加强宣传引导</w:t>
      </w:r>
      <w:r>
        <w:rPr>
          <w:rFonts w:hint="eastAsia" w:ascii="楷体" w:hAnsi="楷体" w:eastAsia="楷体" w:cs="楷体"/>
          <w:sz w:val="32"/>
          <w:szCs w:val="32"/>
        </w:rPr>
        <w:t>。</w:t>
      </w:r>
      <w:r>
        <w:rPr>
          <w:rFonts w:hint="eastAsia" w:ascii="仿宋_GB2312" w:hAnsi="仿宋_GB2312" w:eastAsia="仿宋_GB2312" w:cs="仿宋_GB2312"/>
          <w:sz w:val="32"/>
          <w:szCs w:val="32"/>
        </w:rPr>
        <w:t>要加强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广告法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等法律法规普法宣传，适时曝光广告典型案例。</w:t>
      </w:r>
      <w:r>
        <w:rPr>
          <w:rFonts w:hint="eastAsia" w:ascii="仿宋_GB2312" w:hAnsi="仿宋_GB2312" w:eastAsia="仿宋_GB2312" w:cs="仿宋_GB2312"/>
          <w:sz w:val="32"/>
          <w:szCs w:val="32"/>
        </w:rPr>
        <w:t>支持行业组织发挥行业自律积极作用，鼓励社会</w:t>
      </w:r>
      <w:r>
        <w:rPr>
          <w:rFonts w:hint="eastAsia" w:ascii="仿宋_GB2312" w:hAnsi="仿宋_GB2312" w:eastAsia="仿宋_GB2312" w:cs="仿宋_GB2312"/>
          <w:sz w:val="32"/>
          <w:szCs w:val="32"/>
          <w:lang w:val="en-US" w:eastAsia="zh-CN"/>
        </w:rPr>
        <w:t>公众</w:t>
      </w:r>
      <w:r>
        <w:rPr>
          <w:rFonts w:hint="eastAsia" w:ascii="仿宋_GB2312" w:hAnsi="仿宋_GB2312" w:eastAsia="仿宋_GB2312" w:cs="仿宋_GB2312"/>
          <w:sz w:val="32"/>
          <w:szCs w:val="32"/>
        </w:rPr>
        <w:t>监督，共同维护良好市场秩序。</w:t>
      </w:r>
    </w:p>
    <w:p>
      <w:pPr>
        <w:pStyle w:val="3"/>
        <w:keepNext w:val="0"/>
        <w:keepLines w:val="0"/>
        <w:pageBreakBefore w:val="0"/>
        <w:kinsoku/>
        <w:wordWrap/>
        <w:overflowPunct/>
        <w:topLinePunct w:val="0"/>
        <w:autoSpaceDE/>
        <w:autoSpaceDN/>
        <w:bidi w:val="0"/>
        <w:spacing w:line="570" w:lineRule="exact"/>
        <w:ind w:right="0" w:rightChars="0"/>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十三、超市、医疗卫生机构、粮食购销等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领域计量违法案件查处方案</w:t>
      </w:r>
    </w:p>
    <w:p>
      <w:pPr>
        <w:keepNext w:val="0"/>
        <w:keepLines w:val="0"/>
        <w:pageBreakBefore w:val="0"/>
        <w:widowControl w:val="0"/>
        <w:kinsoku/>
        <w:wordWrap/>
        <w:overflowPunct/>
        <w:topLinePunct w:val="0"/>
        <w:autoSpaceDE/>
        <w:autoSpaceDN/>
        <w:bidi w:val="0"/>
        <w:adjustRightInd/>
        <w:snapToGrid/>
        <w:spacing w:line="570" w:lineRule="exact"/>
        <w:ind w:right="0" w:rightChars="0"/>
        <w:textAlignment w:val="auto"/>
        <w:rPr>
          <w:rFonts w:hint="eastAsia"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量器具的准确性关系人民群众的切身利益。计量执法是计量工作有力保障，加大执法力度，严厉打击民生领域中出现的违反计量法规的行为，能够有效保障消费者权益，营造公平公正的计量环境，促进市场经济正常平稳的发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一、查处重点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（一）严厉查处使用不合格电子计价秤、电子汽车衡等计量器具、使用计量器具过程中为计量器具增加作弊装置或者功能等违法行为。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（二）严厉查处谷物容重器、医用诊断X射线设备等属于强制检定范围的计量器具，未按规定申请强制检定或者经检定不合格继续使用等违法行为。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（三）严厉查处生产、销售的定量包装商品不符合法律法规规定等违法行为。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二、查处依据</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（一）依据《计量法实施细则》第四十三条、第四十六条等规定作出处罚。</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（二）依据《山东省计量条例》第四十二条、第四十三条等规定作出处罚。</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（三）依据《定量包装商品计量监督管理办法》第十七条、第十八条等规定作出处罚。</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三、有关要求</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（一）加大信息数据搜集力度，将有关投诉举报、舆情信息等作为案件线索，落实属地查处。</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（二）聚焦投诉举报较多的超市，医疗卫生机构、粮库等重点场所，对计量器具作弊、强制检定计量器具未按规定申请强制检定等计量违法线索，严厉查处。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（三）注重与系统内同级业务部门和上下级部门的协作配合，加强信息沟通，形成执法合力。</w:t>
      </w: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3"/>
        <w:rPr>
          <w:rFonts w:hint="eastAsia"/>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sz w:val="36"/>
          <w:szCs w:val="36"/>
          <w:lang w:val="en-US" w:eastAsia="zh-CN"/>
        </w:rPr>
        <w:t>十四、生产销售不合格水泥案件查处方案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水泥是重要建材产品，事关建筑工程质量和人民生命、财产安全。为确保水泥质量安全，市场监管部门开展了专项监督检查、全覆盖监督抽查、飞行检查、专家检查等一系列监管工作，起到良好效果，同时也发现不少不合格产品和质量违法行为，必须进一步强化监管并跟进执法，对质量违法行为形成有效震慑。</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一、查处重点</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仿宋_GB2312" w:eastAsia="仿宋_GB2312"/>
          <w:spacing w:val="-6"/>
          <w:sz w:val="32"/>
          <w:szCs w:val="32"/>
          <w:lang w:val="en-US" w:eastAsia="zh-CN"/>
        </w:rPr>
      </w:pPr>
      <w:r>
        <w:rPr>
          <w:rFonts w:hint="eastAsia" w:ascii="仿宋_GB2312" w:eastAsia="仿宋_GB2312"/>
          <w:spacing w:val="-6"/>
          <w:sz w:val="32"/>
          <w:szCs w:val="32"/>
          <w:lang w:val="en-US" w:eastAsia="zh-CN"/>
        </w:rPr>
        <w:t>（一）严厉查处生产销售不符合国家标准、国家命令淘汰、掺杂掺假、以假充真、以次充好、以不合格产品冒充合格产品，以及伪造产地、伪造或冒用他人厂名厂址等违法行为。</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pPr>
      <w:r>
        <w:rPr>
          <w:rFonts w:hint="eastAsia" w:ascii="仿宋_GB2312" w:eastAsia="仿宋_GB2312"/>
          <w:spacing w:val="-6"/>
          <w:sz w:val="32"/>
          <w:szCs w:val="32"/>
          <w:lang w:eastAsia="zh-CN"/>
        </w:rPr>
        <w:t>（</w:t>
      </w:r>
      <w:r>
        <w:rPr>
          <w:rFonts w:hint="eastAsia" w:ascii="仿宋_GB2312" w:eastAsia="仿宋_GB2312"/>
          <w:spacing w:val="-6"/>
          <w:sz w:val="32"/>
          <w:szCs w:val="32"/>
        </w:rPr>
        <w:t>二</w:t>
      </w:r>
      <w:r>
        <w:rPr>
          <w:rFonts w:hint="eastAsia" w:ascii="仿宋_GB2312" w:eastAsia="仿宋_GB2312"/>
          <w:spacing w:val="-6"/>
          <w:sz w:val="32"/>
          <w:szCs w:val="32"/>
          <w:lang w:eastAsia="zh-CN"/>
        </w:rPr>
        <w:t>）</w:t>
      </w:r>
      <w:r>
        <w:rPr>
          <w:rFonts w:hint="eastAsia" w:ascii="仿宋_GB2312" w:eastAsia="仿宋_GB2312"/>
          <w:spacing w:val="-6"/>
          <w:sz w:val="32"/>
          <w:szCs w:val="32"/>
          <w:lang w:val="en-US" w:eastAsia="zh-CN"/>
        </w:rPr>
        <w:t>严厉查处无生产许可证生产水泥</w:t>
      </w:r>
      <w:r>
        <w:rPr>
          <w:rFonts w:hint="eastAsia" w:ascii="仿宋_GB2312" w:eastAsia="仿宋_GB2312"/>
          <w:spacing w:val="-6"/>
          <w:sz w:val="32"/>
          <w:szCs w:val="32"/>
        </w:rPr>
        <w:t>等</w:t>
      </w:r>
      <w:r>
        <w:rPr>
          <w:rFonts w:hint="eastAsia" w:ascii="仿宋_GB2312" w:eastAsia="仿宋_GB2312"/>
          <w:spacing w:val="-6"/>
          <w:sz w:val="32"/>
          <w:szCs w:val="32"/>
          <w:lang w:val="en-US" w:eastAsia="zh-CN"/>
        </w:rPr>
        <w:t>违法行为</w:t>
      </w:r>
      <w:r>
        <w:rPr>
          <w:rFonts w:hint="eastAsia" w:ascii="仿宋_GB2312" w:eastAsia="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仿宋_GB2312" w:eastAsia="仿宋_GB2312"/>
          <w:spacing w:val="-6"/>
          <w:sz w:val="32"/>
          <w:szCs w:val="32"/>
          <w:lang w:val="en-US" w:eastAsia="zh-CN"/>
        </w:rPr>
      </w:pPr>
      <w:r>
        <w:rPr>
          <w:rFonts w:hint="eastAsia" w:ascii="仿宋_GB2312" w:eastAsia="仿宋_GB2312"/>
          <w:spacing w:val="-6"/>
          <w:sz w:val="32"/>
          <w:szCs w:val="32"/>
          <w:lang w:val="en-US" w:eastAsia="zh-CN"/>
        </w:rPr>
        <w:t>（三）严厉查处销售无生产许可证水泥产品等违法行为。</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二、查处依据</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仿宋_GB2312" w:eastAsia="仿宋_GB2312"/>
          <w:spacing w:val="-6"/>
          <w:sz w:val="32"/>
          <w:szCs w:val="32"/>
          <w:lang w:val="en-US" w:eastAsia="zh-CN"/>
        </w:rPr>
      </w:pPr>
      <w:r>
        <w:rPr>
          <w:rFonts w:hint="eastAsia" w:ascii="仿宋_GB2312" w:eastAsia="仿宋_GB2312"/>
          <w:spacing w:val="-6"/>
          <w:sz w:val="32"/>
          <w:szCs w:val="32"/>
          <w:lang w:val="en-US" w:eastAsia="zh-CN"/>
        </w:rPr>
        <w:t>（一）依据《产品质量法》第四十九、五十、五十一、五十三、五十四条等规定作出处罚。</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（二）依据《工业产品生产许可证管理条例》第四十五、四十六、四十七、四十八、四十九、五十三条等规定作出处罚。</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（三）依据《刑法》第一百四十条做好行刑衔接工作。</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三、有关要求</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（一）加大信息数据搜集力度，将有关投诉举报、舆情信息等作为案件线索，落实属地查处。</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仿宋_GB2312" w:eastAsia="仿宋_GB2312"/>
          <w:spacing w:val="-6"/>
          <w:sz w:val="32"/>
          <w:szCs w:val="32"/>
          <w:lang w:val="en-US" w:eastAsia="zh-CN"/>
        </w:rPr>
      </w:pPr>
      <w:r>
        <w:rPr>
          <w:rFonts w:hint="eastAsia" w:ascii="仿宋_GB2312" w:eastAsia="仿宋_GB2312"/>
          <w:spacing w:val="-6"/>
          <w:sz w:val="32"/>
          <w:szCs w:val="32"/>
          <w:lang w:val="en-US" w:eastAsia="zh-CN"/>
        </w:rPr>
        <w:t>（二）在生产领域</w:t>
      </w:r>
      <w:r>
        <w:rPr>
          <w:rFonts w:hint="eastAsia" w:ascii="仿宋_GB2312" w:eastAsia="仿宋_GB2312"/>
          <w:spacing w:val="-6"/>
          <w:sz w:val="32"/>
          <w:szCs w:val="32"/>
        </w:rPr>
        <w:t>聚焦产业集中地</w:t>
      </w:r>
      <w:r>
        <w:rPr>
          <w:rFonts w:hint="eastAsia" w:ascii="仿宋_GB2312" w:eastAsia="仿宋_GB2312"/>
          <w:spacing w:val="-6"/>
          <w:sz w:val="32"/>
          <w:szCs w:val="32"/>
          <w:lang w:val="en-US" w:eastAsia="zh-CN"/>
        </w:rPr>
        <w:t>和</w:t>
      </w:r>
      <w:r>
        <w:rPr>
          <w:rFonts w:hint="eastAsia" w:ascii="仿宋_GB2312" w:eastAsia="仿宋_GB2312"/>
          <w:spacing w:val="-6"/>
          <w:sz w:val="32"/>
          <w:szCs w:val="32"/>
        </w:rPr>
        <w:t>问题</w:t>
      </w:r>
      <w:r>
        <w:rPr>
          <w:rFonts w:hint="eastAsia" w:ascii="仿宋_GB2312" w:eastAsia="仿宋_GB2312"/>
          <w:spacing w:val="-6"/>
          <w:sz w:val="32"/>
          <w:szCs w:val="32"/>
          <w:lang w:val="en-US" w:eastAsia="zh-CN"/>
        </w:rPr>
        <w:t>较多</w:t>
      </w:r>
      <w:r>
        <w:rPr>
          <w:rFonts w:hint="eastAsia" w:ascii="仿宋_GB2312" w:eastAsia="仿宋_GB2312"/>
          <w:spacing w:val="-6"/>
          <w:sz w:val="32"/>
          <w:szCs w:val="32"/>
        </w:rPr>
        <w:t>的</w:t>
      </w:r>
      <w:r>
        <w:rPr>
          <w:rFonts w:hint="eastAsia" w:ascii="仿宋_GB2312" w:eastAsia="仿宋_GB2312"/>
          <w:spacing w:val="-6"/>
          <w:sz w:val="32"/>
          <w:szCs w:val="32"/>
          <w:lang w:val="en-US" w:eastAsia="zh-CN"/>
        </w:rPr>
        <w:t>粉磨站等</w:t>
      </w:r>
      <w:r>
        <w:rPr>
          <w:rFonts w:hint="eastAsia" w:ascii="仿宋_GB2312" w:eastAsia="仿宋_GB2312"/>
          <w:spacing w:val="-6"/>
          <w:sz w:val="32"/>
          <w:szCs w:val="32"/>
        </w:rPr>
        <w:t>企业</w:t>
      </w:r>
      <w:r>
        <w:rPr>
          <w:rFonts w:hint="eastAsia" w:ascii="仿宋_GB2312" w:eastAsia="仿宋_GB2312"/>
          <w:spacing w:val="-6"/>
          <w:sz w:val="32"/>
          <w:szCs w:val="32"/>
          <w:lang w:eastAsia="zh-CN"/>
        </w:rPr>
        <w:t>，</w:t>
      </w:r>
      <w:r>
        <w:rPr>
          <w:rFonts w:hint="eastAsia" w:ascii="仿宋_GB2312" w:eastAsia="仿宋_GB2312"/>
          <w:spacing w:val="-6"/>
          <w:sz w:val="32"/>
          <w:szCs w:val="32"/>
          <w:lang w:val="en-US" w:eastAsia="zh-CN"/>
        </w:rPr>
        <w:t>在流通领域</w:t>
      </w:r>
      <w:r>
        <w:rPr>
          <w:rFonts w:hint="eastAsia" w:ascii="仿宋_GB2312" w:eastAsia="仿宋_GB2312"/>
          <w:spacing w:val="-6"/>
          <w:sz w:val="32"/>
          <w:szCs w:val="32"/>
        </w:rPr>
        <w:t>聚焦</w:t>
      </w:r>
      <w:r>
        <w:rPr>
          <w:rFonts w:hint="eastAsia" w:ascii="仿宋_GB2312" w:eastAsia="仿宋_GB2312"/>
          <w:spacing w:val="-6"/>
          <w:sz w:val="32"/>
          <w:szCs w:val="32"/>
          <w:lang w:val="en-US" w:eastAsia="zh-CN"/>
        </w:rPr>
        <w:t>建筑工地周边、建材市场</w:t>
      </w:r>
      <w:r>
        <w:rPr>
          <w:rFonts w:hint="eastAsia" w:ascii="仿宋_GB2312" w:eastAsia="仿宋_GB2312"/>
          <w:spacing w:val="-6"/>
          <w:sz w:val="32"/>
          <w:szCs w:val="32"/>
        </w:rPr>
        <w:t>等重点场所</w:t>
      </w:r>
      <w:r>
        <w:rPr>
          <w:rFonts w:hint="eastAsia" w:ascii="仿宋_GB2312" w:eastAsia="仿宋_GB2312"/>
          <w:spacing w:val="-6"/>
          <w:sz w:val="32"/>
          <w:szCs w:val="32"/>
          <w:lang w:eastAsia="zh-CN"/>
        </w:rPr>
        <w:t>，</w:t>
      </w:r>
      <w:r>
        <w:rPr>
          <w:rFonts w:hint="eastAsia" w:ascii="仿宋_GB2312" w:eastAsia="仿宋_GB2312"/>
          <w:spacing w:val="-6"/>
          <w:sz w:val="32"/>
          <w:szCs w:val="32"/>
          <w:lang w:val="en-US" w:eastAsia="zh-CN"/>
        </w:rPr>
        <w:t>对发现的质量违法线索</w:t>
      </w:r>
      <w:r>
        <w:rPr>
          <w:rFonts w:hint="default" w:ascii="仿宋_GB2312" w:eastAsia="仿宋_GB2312"/>
          <w:spacing w:val="-6"/>
          <w:sz w:val="32"/>
          <w:szCs w:val="32"/>
          <w:lang w:val="en-US" w:eastAsia="zh-CN"/>
        </w:rPr>
        <w:t>，</w:t>
      </w:r>
      <w:r>
        <w:rPr>
          <w:rFonts w:hint="eastAsia" w:ascii="仿宋_GB2312" w:eastAsia="仿宋_GB2312"/>
          <w:spacing w:val="-6"/>
          <w:sz w:val="32"/>
          <w:szCs w:val="32"/>
          <w:lang w:val="en-US" w:eastAsia="zh-CN"/>
        </w:rPr>
        <w:t>一查到底</w:t>
      </w:r>
      <w:r>
        <w:rPr>
          <w:rFonts w:hint="default" w:ascii="仿宋_GB2312" w:eastAsia="仿宋_GB2312"/>
          <w:spacing w:val="-6"/>
          <w:sz w:val="32"/>
          <w:szCs w:val="32"/>
          <w:lang w:val="en-US" w:eastAsia="zh-CN"/>
        </w:rPr>
        <w:t>，绝不姑息。涉嫌犯罪的，及时移送司法机关处理。</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仿宋_GB2312" w:eastAsia="仿宋_GB2312"/>
          <w:spacing w:val="-6"/>
          <w:sz w:val="32"/>
          <w:szCs w:val="32"/>
          <w:lang w:val="en-US" w:eastAsia="zh-CN"/>
        </w:rPr>
      </w:pPr>
      <w:r>
        <w:rPr>
          <w:rFonts w:hint="eastAsia" w:ascii="仿宋_GB2312" w:eastAsia="仿宋_GB2312"/>
          <w:spacing w:val="-6"/>
          <w:sz w:val="32"/>
          <w:szCs w:val="32"/>
          <w:lang w:val="en-US" w:eastAsia="zh-CN"/>
        </w:rPr>
        <w:t>（三）注重与系统内同级业务部门和上下级部门的协作配合，加强与公安、住建等有关部门的协调配合，加强信息沟通，形成执法合力。</w:t>
      </w: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sz w:val="36"/>
          <w:szCs w:val="36"/>
          <w:lang w:val="en-US" w:eastAsia="zh-CN"/>
        </w:rPr>
        <w:t>十五、生产销售不合格童车童床案件查处方案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pacing w:val="-6"/>
          <w:sz w:val="32"/>
          <w:szCs w:val="32"/>
          <w:lang w:val="en-US" w:eastAsia="zh-CN"/>
        </w:rPr>
      </w:pPr>
      <w:r>
        <w:rPr>
          <w:rFonts w:hint="eastAsia" w:hAnsi="Calibri"/>
          <w:sz w:val="32"/>
          <w:szCs w:val="32"/>
          <w:lang w:eastAsia="zh-CN"/>
        </w:rPr>
        <w:t>童车童床</w:t>
      </w:r>
      <w:r>
        <w:rPr>
          <w:rFonts w:hint="eastAsia" w:ascii="仿宋_GB2312" w:hAnsi="Calibri" w:eastAsia="仿宋_GB2312"/>
          <w:sz w:val="32"/>
          <w:szCs w:val="32"/>
        </w:rPr>
        <w:t>事关儿童人身安全，</w:t>
      </w:r>
      <w:r>
        <w:rPr>
          <w:rFonts w:hint="eastAsia" w:hAnsi="Calibri"/>
          <w:sz w:val="32"/>
          <w:szCs w:val="32"/>
          <w:lang w:eastAsia="zh-CN"/>
        </w:rPr>
        <w:t>关系家庭幸福，</w:t>
      </w:r>
      <w:r>
        <w:rPr>
          <w:rFonts w:hint="eastAsia" w:ascii="仿宋_GB2312" w:hAnsi="Calibri" w:eastAsia="仿宋_GB2312"/>
          <w:sz w:val="32"/>
          <w:szCs w:val="32"/>
        </w:rPr>
        <w:t>其质量不合格，极易出现安全事故。</w:t>
      </w:r>
      <w:r>
        <w:rPr>
          <w:rFonts w:hint="eastAsia"/>
          <w:spacing w:val="-6"/>
          <w:sz w:val="32"/>
          <w:szCs w:val="32"/>
          <w:lang w:val="en-US" w:eastAsia="zh-CN"/>
        </w:rPr>
        <w:t>但是，目前生产销售不合格童车童床及未经认证擅自出厂、销售童车等违法行为时有发生，部分</w:t>
      </w:r>
      <w:r>
        <w:rPr>
          <w:rFonts w:hint="eastAsia" w:hAnsi="Calibri"/>
          <w:sz w:val="32"/>
          <w:szCs w:val="32"/>
          <w:lang w:eastAsia="zh-CN"/>
        </w:rPr>
        <w:t>童车童床质量不合格问题依然存在，严重危害</w:t>
      </w:r>
      <w:r>
        <w:rPr>
          <w:rFonts w:hint="eastAsia" w:ascii="仿宋_GB2312" w:hAnsi="Calibri" w:eastAsia="仿宋_GB2312"/>
          <w:sz w:val="32"/>
          <w:szCs w:val="32"/>
        </w:rPr>
        <w:t>儿童</w:t>
      </w:r>
      <w:r>
        <w:rPr>
          <w:rFonts w:hint="eastAsia" w:hAnsi="Calibri"/>
          <w:sz w:val="32"/>
          <w:szCs w:val="32"/>
          <w:lang w:eastAsia="zh-CN"/>
        </w:rPr>
        <w:t>人身健康安全，需集中力量，严查违法行为</w:t>
      </w:r>
      <w:r>
        <w:rPr>
          <w:rFonts w:hint="eastAsia" w:ascii="仿宋_GB2312" w:eastAsia="仿宋_GB2312"/>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一、查处重点</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仿宋_GB2312" w:eastAsia="仿宋_GB2312"/>
          <w:spacing w:val="-6"/>
          <w:sz w:val="32"/>
          <w:szCs w:val="32"/>
          <w:lang w:val="en-US" w:eastAsia="zh-CN"/>
        </w:rPr>
      </w:pPr>
      <w:r>
        <w:rPr>
          <w:rFonts w:hint="eastAsia" w:ascii="仿宋_GB2312" w:eastAsia="仿宋_GB2312"/>
          <w:spacing w:val="-6"/>
          <w:sz w:val="32"/>
          <w:szCs w:val="32"/>
          <w:lang w:val="en-US" w:eastAsia="zh-CN"/>
        </w:rPr>
        <w:t>（一）严厉查处生产销售不符合国家标准</w:t>
      </w:r>
      <w:r>
        <w:rPr>
          <w:rFonts w:hint="eastAsia"/>
          <w:spacing w:val="-6"/>
          <w:sz w:val="32"/>
          <w:szCs w:val="32"/>
          <w:lang w:val="en-US" w:eastAsia="zh-CN"/>
        </w:rPr>
        <w:t>、</w:t>
      </w:r>
      <w:r>
        <w:rPr>
          <w:rFonts w:hint="eastAsia" w:ascii="仿宋_GB2312" w:eastAsia="仿宋_GB2312"/>
          <w:spacing w:val="-6"/>
          <w:sz w:val="32"/>
          <w:szCs w:val="32"/>
          <w:lang w:val="en-US" w:eastAsia="zh-CN"/>
        </w:rPr>
        <w:t>以不合格产品冒充合格产品及伪造产地、伪造或冒用他人厂名厂址等违法行为。</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pPr>
      <w:r>
        <w:rPr>
          <w:rFonts w:hint="eastAsia" w:ascii="仿宋_GB2312" w:eastAsia="仿宋_GB2312"/>
          <w:spacing w:val="-6"/>
          <w:sz w:val="32"/>
          <w:szCs w:val="32"/>
          <w:lang w:eastAsia="zh-CN"/>
        </w:rPr>
        <w:t>（</w:t>
      </w:r>
      <w:r>
        <w:rPr>
          <w:rFonts w:hint="eastAsia" w:ascii="仿宋_GB2312" w:eastAsia="仿宋_GB2312"/>
          <w:spacing w:val="-6"/>
          <w:sz w:val="32"/>
          <w:szCs w:val="32"/>
        </w:rPr>
        <w:t>二</w:t>
      </w:r>
      <w:r>
        <w:rPr>
          <w:rFonts w:hint="eastAsia" w:ascii="仿宋_GB2312" w:eastAsia="仿宋_GB2312"/>
          <w:spacing w:val="-6"/>
          <w:sz w:val="32"/>
          <w:szCs w:val="32"/>
          <w:lang w:eastAsia="zh-CN"/>
        </w:rPr>
        <w:t>）</w:t>
      </w:r>
      <w:r>
        <w:rPr>
          <w:rFonts w:hint="eastAsia" w:ascii="仿宋_GB2312" w:eastAsia="仿宋_GB2312"/>
          <w:spacing w:val="-6"/>
          <w:sz w:val="32"/>
          <w:szCs w:val="32"/>
          <w:lang w:val="en-US" w:eastAsia="zh-CN"/>
        </w:rPr>
        <w:t>严厉查处无</w:t>
      </w:r>
      <w:r>
        <w:rPr>
          <w:rFonts w:hint="eastAsia"/>
          <w:spacing w:val="-6"/>
          <w:sz w:val="32"/>
          <w:szCs w:val="32"/>
          <w:lang w:val="en-US" w:eastAsia="zh-CN"/>
        </w:rPr>
        <w:t>CCC强制性认证擅自出厂、销售童车</w:t>
      </w:r>
      <w:r>
        <w:rPr>
          <w:rFonts w:hint="eastAsia" w:ascii="仿宋_GB2312" w:eastAsia="仿宋_GB2312"/>
          <w:spacing w:val="-6"/>
          <w:sz w:val="32"/>
          <w:szCs w:val="32"/>
        </w:rPr>
        <w:t>等</w:t>
      </w:r>
      <w:r>
        <w:rPr>
          <w:rFonts w:hint="eastAsia" w:ascii="仿宋_GB2312" w:eastAsia="仿宋_GB2312"/>
          <w:spacing w:val="-6"/>
          <w:sz w:val="32"/>
          <w:szCs w:val="32"/>
          <w:lang w:val="en-US" w:eastAsia="zh-CN"/>
        </w:rPr>
        <w:t>违法行为</w:t>
      </w:r>
      <w:r>
        <w:rPr>
          <w:rFonts w:hint="eastAsia" w:ascii="仿宋_GB2312" w:eastAsia="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仿宋_GB2312" w:eastAsia="仿宋_GB2312"/>
          <w:spacing w:val="-6"/>
          <w:sz w:val="32"/>
          <w:szCs w:val="32"/>
          <w:lang w:val="en-US" w:eastAsia="zh-CN"/>
        </w:rPr>
      </w:pPr>
      <w:r>
        <w:rPr>
          <w:rFonts w:hint="eastAsia" w:ascii="仿宋_GB2312" w:eastAsia="仿宋_GB2312"/>
          <w:spacing w:val="-6"/>
          <w:sz w:val="32"/>
          <w:szCs w:val="32"/>
          <w:lang w:val="en-US" w:eastAsia="zh-CN"/>
        </w:rPr>
        <w:t>（三）严厉查处销售无</w:t>
      </w:r>
      <w:r>
        <w:rPr>
          <w:rFonts w:hint="eastAsia"/>
          <w:spacing w:val="-6"/>
          <w:sz w:val="32"/>
          <w:szCs w:val="32"/>
          <w:lang w:val="en-US" w:eastAsia="zh-CN"/>
        </w:rPr>
        <w:t>CCC强制性认证童车</w:t>
      </w:r>
      <w:r>
        <w:rPr>
          <w:rFonts w:hint="eastAsia" w:ascii="仿宋_GB2312" w:eastAsia="仿宋_GB2312"/>
          <w:spacing w:val="-6"/>
          <w:sz w:val="32"/>
          <w:szCs w:val="32"/>
          <w:lang w:val="en-US" w:eastAsia="zh-CN"/>
        </w:rPr>
        <w:t>产品等违法行为。</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二、查处依据</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仿宋_GB2312" w:eastAsia="仿宋_GB2312"/>
          <w:spacing w:val="-6"/>
          <w:sz w:val="32"/>
          <w:szCs w:val="32"/>
          <w:lang w:val="en-US" w:eastAsia="zh-CN"/>
        </w:rPr>
      </w:pPr>
      <w:r>
        <w:rPr>
          <w:rFonts w:hint="eastAsia" w:ascii="仿宋_GB2312" w:eastAsia="仿宋_GB2312"/>
          <w:spacing w:val="-6"/>
          <w:sz w:val="32"/>
          <w:szCs w:val="32"/>
          <w:lang w:val="en-US" w:eastAsia="zh-CN"/>
        </w:rPr>
        <w:t>（一）依据《产品质量法》第四十九、五十、五十三、五十四条等规定作出处罚。</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（二）依据《</w:t>
      </w:r>
      <w:r>
        <w:rPr>
          <w:rFonts w:hint="eastAsia"/>
          <w:spacing w:val="-6"/>
          <w:sz w:val="32"/>
          <w:szCs w:val="32"/>
          <w:lang w:val="en-US" w:eastAsia="zh-CN"/>
        </w:rPr>
        <w:t>认证认可</w:t>
      </w:r>
      <w:r>
        <w:rPr>
          <w:rFonts w:hint="eastAsia" w:ascii="仿宋_GB2312" w:eastAsia="仿宋_GB2312"/>
          <w:spacing w:val="-6"/>
          <w:sz w:val="32"/>
          <w:szCs w:val="32"/>
          <w:lang w:val="en-US" w:eastAsia="zh-CN"/>
        </w:rPr>
        <w:t>条例》第</w:t>
      </w:r>
      <w:r>
        <w:rPr>
          <w:rFonts w:hint="eastAsia"/>
          <w:spacing w:val="-6"/>
          <w:sz w:val="32"/>
          <w:szCs w:val="32"/>
          <w:lang w:val="en-US" w:eastAsia="zh-CN"/>
        </w:rPr>
        <w:t>六十六</w:t>
      </w:r>
      <w:r>
        <w:rPr>
          <w:rFonts w:hint="eastAsia" w:ascii="仿宋_GB2312" w:eastAsia="仿宋_GB2312"/>
          <w:spacing w:val="-6"/>
          <w:sz w:val="32"/>
          <w:szCs w:val="32"/>
          <w:lang w:val="en-US" w:eastAsia="zh-CN"/>
        </w:rPr>
        <w:t>条等规定作出处罚。</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（三）依据《刑法》第一百四十条做好行刑衔接工作。</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三、有关要求</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spacing w:val="-6"/>
          <w:sz w:val="32"/>
          <w:szCs w:val="32"/>
          <w:lang w:val="en-US" w:eastAsia="zh-CN"/>
        </w:rPr>
      </w:pPr>
      <w:r>
        <w:rPr>
          <w:rFonts w:hint="eastAsia" w:ascii="仿宋_GB2312" w:eastAsia="仿宋_GB2312"/>
          <w:spacing w:val="-6"/>
          <w:sz w:val="32"/>
          <w:szCs w:val="32"/>
          <w:lang w:val="en-US" w:eastAsia="zh-CN"/>
        </w:rPr>
        <w:t>（一）</w:t>
      </w:r>
      <w:r>
        <w:rPr>
          <w:rFonts w:hint="eastAsia"/>
          <w:spacing w:val="-6"/>
          <w:sz w:val="32"/>
          <w:szCs w:val="32"/>
          <w:lang w:val="en-US" w:eastAsia="zh-CN"/>
        </w:rPr>
        <w:t>加强部门协同配合。产品质量监督机构、认证监管机构要对监管工作中发现的违法线索及时移交执法机构。执法机构要对违法行为快速严查。</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（二）加大信息数据搜集力度，将有关投诉举报、舆情信息等作为案件线索，落实属地查处。</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仿宋_GB2312" w:eastAsia="仿宋_GB2312"/>
          <w:spacing w:val="-6"/>
          <w:sz w:val="32"/>
          <w:szCs w:val="32"/>
          <w:lang w:val="en-US" w:eastAsia="zh-CN"/>
        </w:rPr>
      </w:pPr>
      <w:r>
        <w:rPr>
          <w:rFonts w:hint="eastAsia" w:ascii="仿宋_GB2312" w:eastAsia="仿宋_GB2312"/>
          <w:spacing w:val="-6"/>
          <w:sz w:val="32"/>
          <w:szCs w:val="32"/>
          <w:lang w:val="en-US" w:eastAsia="zh-CN"/>
        </w:rPr>
        <w:t>（三）注重与系统内同级业务部门和上下级部门的协作配合，加强与公安、住建等有关部门的协调配合，加强信息沟通，形成执法合力。</w:t>
      </w:r>
    </w:p>
    <w:p>
      <w:pPr>
        <w:pStyle w:val="3"/>
        <w:rPr>
          <w:rFonts w:hint="eastAsia" w:ascii="仿宋_GB2312" w:hAnsi="仿宋_GB2312" w:eastAsia="仿宋_GB2312" w:cs="仿宋_GB2312"/>
          <w:sz w:val="32"/>
          <w:szCs w:val="32"/>
        </w:rPr>
      </w:pPr>
    </w:p>
    <w:sectPr>
      <w:pgSz w:w="11906" w:h="16838"/>
      <w:pgMar w:top="1440" w:right="1531" w:bottom="144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86FF76-1EA3-4F0D-8F93-54EB4B0A84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BA118A1-BB4A-41CB-8273-BB238A6EC61A}"/>
  </w:font>
  <w:font w:name="仿宋_GB2312">
    <w:panose1 w:val="02010609030101010101"/>
    <w:charset w:val="86"/>
    <w:family w:val="modern"/>
    <w:pitch w:val="default"/>
    <w:sig w:usb0="00000001" w:usb1="080E0000" w:usb2="00000000" w:usb3="00000000" w:csb0="00040000" w:csb1="00000000"/>
    <w:embedRegular r:id="rId3" w:fontKey="{F200CB9D-ACCD-44A6-97D6-CDD52EE7CB83}"/>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4" w:fontKey="{C05DDCE7-039E-4076-85B9-F650B173BA77}"/>
  </w:font>
  <w:font w:name="楷体">
    <w:panose1 w:val="02010609060101010101"/>
    <w:charset w:val="86"/>
    <w:family w:val="auto"/>
    <w:pitch w:val="default"/>
    <w:sig w:usb0="800002BF" w:usb1="38CF7CFA" w:usb2="00000016" w:usb3="00000000" w:csb0="00040001" w:csb1="00000000"/>
    <w:embedRegular r:id="rId5" w:fontKey="{58C0510E-BA04-4AD5-A272-2441650E73CD}"/>
  </w:font>
  <w:font w:name="MS Gothic">
    <w:panose1 w:val="020B0609070205080204"/>
    <w:charset w:val="80"/>
    <w:family w:val="modern"/>
    <w:pitch w:val="default"/>
    <w:sig w:usb0="E00002FF" w:usb1="6AC7FDFB" w:usb2="08000012" w:usb3="00000000" w:csb0="4002009F" w:csb1="DFD70000"/>
  </w:font>
  <w:font w:name="CESI仿宋-GB2312">
    <w:altName w:val="仿宋"/>
    <w:panose1 w:val="02000500000000000000"/>
    <w:charset w:val="86"/>
    <w:family w:val="auto"/>
    <w:pitch w:val="default"/>
    <w:sig w:usb0="00000000" w:usb1="00000000" w:usb2="00000010" w:usb3="00000000" w:csb0="0004000F" w:csb1="00000000"/>
  </w:font>
  <w:font w:name="华文中宋">
    <w:panose1 w:val="02010600040101010101"/>
    <w:charset w:val="86"/>
    <w:family w:val="auto"/>
    <w:pitch w:val="default"/>
    <w:sig w:usb0="00000287" w:usb1="080F0000" w:usb2="00000000" w:usb3="00000000" w:csb0="0004009F" w:csb1="DFD70000"/>
    <w:embedRegular r:id="rId6" w:fontKey="{60AC13B2-CD48-4637-9938-AD915561FF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r>
                            <w:rPr>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r>
                      <w:rPr>
                        <w:sz w:val="22"/>
                        <w:szCs w:val="2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r>
                            <w:rPr>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r>
                      <w:rPr>
                        <w:sz w:val="22"/>
                        <w:szCs w:val="2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0Soc4AgAAb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RKhz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B6BE6"/>
    <w:multiLevelType w:val="singleLevel"/>
    <w:tmpl w:val="9D8B6BE6"/>
    <w:lvl w:ilvl="0" w:tentative="0">
      <w:start w:val="1"/>
      <w:numFmt w:val="chineseCounting"/>
      <w:suff w:val="nothing"/>
      <w:lvlText w:val="（%1）"/>
      <w:lvlJc w:val="left"/>
      <w:rPr>
        <w:rFonts w:hint="eastAsia"/>
      </w:rPr>
    </w:lvl>
  </w:abstractNum>
  <w:abstractNum w:abstractNumId="1">
    <w:nsid w:val="B61605BD"/>
    <w:multiLevelType w:val="singleLevel"/>
    <w:tmpl w:val="B61605BD"/>
    <w:lvl w:ilvl="0" w:tentative="0">
      <w:start w:val="3"/>
      <w:numFmt w:val="chineseCounting"/>
      <w:suff w:val="nothing"/>
      <w:lvlText w:val="（%1）"/>
      <w:lvlJc w:val="left"/>
      <w:rPr>
        <w:rFonts w:hint="eastAsia" w:ascii="楷体" w:hAnsi="楷体" w:eastAsia="楷体" w:cs="楷体"/>
        <w:b/>
        <w:bCs/>
        <w:sz w:val="32"/>
        <w:szCs w:val="32"/>
      </w:rPr>
    </w:lvl>
  </w:abstractNum>
  <w:abstractNum w:abstractNumId="2">
    <w:nsid w:val="EB0695B3"/>
    <w:multiLevelType w:val="singleLevel"/>
    <w:tmpl w:val="EB0695B3"/>
    <w:lvl w:ilvl="0" w:tentative="0">
      <w:start w:val="1"/>
      <w:numFmt w:val="chineseCounting"/>
      <w:suff w:val="nothing"/>
      <w:lvlText w:val="%1、"/>
      <w:lvlJc w:val="left"/>
      <w:pPr>
        <w:ind w:left="0" w:firstLine="420"/>
      </w:pPr>
      <w:rPr>
        <w:rFonts w:hint="eastAsia"/>
      </w:rPr>
    </w:lvl>
  </w:abstractNum>
  <w:abstractNum w:abstractNumId="3">
    <w:nsid w:val="17E13EDF"/>
    <w:multiLevelType w:val="singleLevel"/>
    <w:tmpl w:val="17E13ED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MzZlOWU0YmUyOGJkNWM2MDFiOWI5MjE3ODQ2OGQifQ=="/>
  </w:docVars>
  <w:rsids>
    <w:rsidRoot w:val="7F7FD903"/>
    <w:rsid w:val="077A236E"/>
    <w:rsid w:val="089C45DA"/>
    <w:rsid w:val="0CC50889"/>
    <w:rsid w:val="123F1FC5"/>
    <w:rsid w:val="198A6011"/>
    <w:rsid w:val="1B8371BB"/>
    <w:rsid w:val="2B8D5ED5"/>
    <w:rsid w:val="2BFB3191"/>
    <w:rsid w:val="3475DD4D"/>
    <w:rsid w:val="3AA82E18"/>
    <w:rsid w:val="3B5D6B9F"/>
    <w:rsid w:val="3C025A82"/>
    <w:rsid w:val="3FF69EE3"/>
    <w:rsid w:val="40487B8A"/>
    <w:rsid w:val="405143FA"/>
    <w:rsid w:val="441924A1"/>
    <w:rsid w:val="48502F8D"/>
    <w:rsid w:val="4C7D8FF0"/>
    <w:rsid w:val="55A35C07"/>
    <w:rsid w:val="5741F389"/>
    <w:rsid w:val="58765F16"/>
    <w:rsid w:val="5BE21F42"/>
    <w:rsid w:val="60B30F76"/>
    <w:rsid w:val="697B0EA1"/>
    <w:rsid w:val="6DE81656"/>
    <w:rsid w:val="6FBF7402"/>
    <w:rsid w:val="71BB1F9E"/>
    <w:rsid w:val="73487917"/>
    <w:rsid w:val="74EF930D"/>
    <w:rsid w:val="7629005F"/>
    <w:rsid w:val="76695E63"/>
    <w:rsid w:val="77000835"/>
    <w:rsid w:val="7A57E113"/>
    <w:rsid w:val="7C4F26E7"/>
    <w:rsid w:val="7D052440"/>
    <w:rsid w:val="7EBFA148"/>
    <w:rsid w:val="7EDDE783"/>
    <w:rsid w:val="7F7ECF89"/>
    <w:rsid w:val="7F7F3004"/>
    <w:rsid w:val="7F7FD903"/>
    <w:rsid w:val="7FFF0AFB"/>
    <w:rsid w:val="9DD50042"/>
    <w:rsid w:val="AF7D4F3E"/>
    <w:rsid w:val="BD4C035E"/>
    <w:rsid w:val="BFBD51D6"/>
    <w:rsid w:val="BFFFB92D"/>
    <w:rsid w:val="CBBFBF0F"/>
    <w:rsid w:val="D3FF929D"/>
    <w:rsid w:val="D6D99A82"/>
    <w:rsid w:val="D6F34358"/>
    <w:rsid w:val="DFEFD7AF"/>
    <w:rsid w:val="E7BF108A"/>
    <w:rsid w:val="EFDFF954"/>
    <w:rsid w:val="EFE1D904"/>
    <w:rsid w:val="EFF452F2"/>
    <w:rsid w:val="EFFCDCDC"/>
    <w:rsid w:val="F2514B4E"/>
    <w:rsid w:val="F5EEE35C"/>
    <w:rsid w:val="F79756B8"/>
    <w:rsid w:val="F7FD014A"/>
    <w:rsid w:val="FD2FF689"/>
    <w:rsid w:val="FF9F77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w:basedOn w:val="1"/>
    <w:next w:val="1"/>
    <w:qFormat/>
    <w:uiPriority w:val="0"/>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正文首行缩进1"/>
    <w:basedOn w:val="3"/>
    <w:qFormat/>
    <w:uiPriority w:val="0"/>
    <w:pPr>
      <w:ind w:firstLine="420" w:firstLineChars="1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15271</Words>
  <Characters>15562</Characters>
  <Lines>0</Lines>
  <Paragraphs>0</Paragraphs>
  <TotalTime>3</TotalTime>
  <ScaleCrop>false</ScaleCrop>
  <LinksUpToDate>false</LinksUpToDate>
  <CharactersWithSpaces>15846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2022-03-15T16:52:00Z</dcterms:created>
  <dc:creator>user</dc:creator>
  <cp:lastModifiedBy>山石岩</cp:lastModifiedBy>
  <cp:lastPrinted>2022-04-05T02:53:00Z</cp:lastPrinted>
  <dcterms:modified xsi:type="dcterms:W3CDTF">2023-06-07T08:29:05Z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1F2DBCFE3AC44B4CB0D9A9B419234E28</vt:lpwstr>
  </property>
</Properties>
</file>